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93a1" w14:textId="5709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19 қазандағы № 8/69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Заңына, "Халық үшін қатты тұрмыстық қалдықтарды жинауға, тасымалдауға, сұрыптауға және көмуге арналған тарифті есептеу әдістемесін бекіту туралы" Қазақстан Республикасы Экология, геология және табиғи ресурстар министрінің 2021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24382 болып тіркелген) сәйкес,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Жаңаөзен қаласы бойынша халық үшін тұрмыстық қатты қалдықтарды жинауға, тасымалдауға, сұрыптауға және көмуге арналған тарифтер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8/69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Жанаөзен қаласы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бірлігіне (көлем) 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бірлігіне (көлем)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 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Ескертпеде: аббревиатуралардың толық жазылуы: м3 – текше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