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fb87" w14:textId="3abf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2020 жылғы 28 тамыздағы № 37/446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2023 жылғы 8 желтоқсандағы № 7/79 шешімі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2020 жылғы 28 тамыздағы </w:t>
      </w:r>
      <w:r>
        <w:rPr>
          <w:rFonts w:ascii="Times New Roman"/>
          <w:b w:val="false"/>
          <w:i w:val="false"/>
          <w:color w:val="000000"/>
          <w:sz w:val="28"/>
        </w:rPr>
        <w:t>№ 37/446</w:t>
      </w:r>
      <w:r>
        <w:rPr>
          <w:rFonts w:ascii="Times New Roman"/>
          <w:b w:val="false"/>
          <w:i w:val="false"/>
          <w:color w:val="000000"/>
          <w:sz w:val="28"/>
        </w:rPr>
        <w:t xml:space="preserve"> "Маңғыстау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 (нормативтік құқықтық актілерді мемлекеттік тіркеу Тізілімінде № 4278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Маңғыстау облысында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мамандандырылған емдік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Тегін медициналық көмектің кепілдік берілген көлемі шеңберіндегі дәрілік заттар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Мультифокалдық, краниалдық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 бұлшықет ішіне және тер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жүкті әйелдер және босанғаннан кейінгі кезеңде босанған әйелдер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аурулары, неврологиялық аурулар,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 сульфотиазолы бар крем,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w:t>
            </w:r>
          </w:p>
          <w:p>
            <w:pPr>
              <w:spacing w:after="20"/>
              <w:ind w:left="20"/>
              <w:jc w:val="both"/>
            </w:pPr>
            <w:r>
              <w:rPr>
                <w:rFonts w:ascii="Times New Roman"/>
                <w:b w:val="false"/>
                <w:i w:val="false"/>
                <w:color w:val="000000"/>
                <w:sz w:val="20"/>
              </w:rPr>
              <w:t xml:space="preserve">
 тұрған азаматтардың </w:t>
            </w:r>
          </w:p>
          <w:p>
            <w:pPr>
              <w:spacing w:after="20"/>
              <w:ind w:left="20"/>
              <w:jc w:val="both"/>
            </w:pPr>
            <w:r>
              <w:rPr>
                <w:rFonts w:ascii="Times New Roman"/>
                <w:b w:val="false"/>
                <w:i w:val="false"/>
                <w:color w:val="000000"/>
                <w:sz w:val="20"/>
              </w:rPr>
              <w:t>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ерітінді/дозаланған ингаляцияға арналған аэрозоль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жеткіліксіздігі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ауысу</w:t>
            </w:r>
          </w:p>
          <w:p>
            <w:pPr>
              <w:spacing w:after="20"/>
              <w:ind w:left="20"/>
              <w:jc w:val="both"/>
            </w:pPr>
            <w:r>
              <w:rPr>
                <w:rFonts w:ascii="Times New Roman"/>
                <w:b w:val="false"/>
                <w:i w:val="false"/>
                <w:color w:val="000000"/>
                <w:sz w:val="20"/>
              </w:rPr>
              <w:t>
сатысына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кетоаналистері, таблеткалар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препараттар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w:t>
            </w:r>
          </w:p>
          <w:p>
            <w:pPr>
              <w:spacing w:after="20"/>
              <w:ind w:left="20"/>
              <w:jc w:val="both"/>
            </w:pPr>
            <w:r>
              <w:rPr>
                <w:rFonts w:ascii="Times New Roman"/>
                <w:b w:val="false"/>
                <w:i w:val="false"/>
                <w:color w:val="000000"/>
                <w:sz w:val="20"/>
              </w:rPr>
              <w:t>
азаматтардың барлық</w:t>
            </w:r>
          </w:p>
          <w:p>
            <w:pPr>
              <w:spacing w:after="20"/>
              <w:ind w:left="20"/>
              <w:jc w:val="both"/>
            </w:pPr>
            <w:r>
              <w:rPr>
                <w:rFonts w:ascii="Times New Roman"/>
                <w:b w:val="false"/>
                <w:i w:val="false"/>
                <w:color w:val="000000"/>
                <w:sz w:val="20"/>
              </w:rPr>
              <w:t>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азаматтардың барлық санаттары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w:t>
            </w:r>
          </w:p>
          <w:p>
            <w:pPr>
              <w:spacing w:after="20"/>
              <w:ind w:left="20"/>
              <w:jc w:val="both"/>
            </w:pPr>
            <w:r>
              <w:rPr>
                <w:rFonts w:ascii="Times New Roman"/>
                <w:b w:val="false"/>
                <w:i w:val="false"/>
                <w:color w:val="000000"/>
                <w:sz w:val="20"/>
              </w:rPr>
              <w:t>
және ауырлық</w:t>
            </w:r>
          </w:p>
          <w:p>
            <w:pPr>
              <w:spacing w:after="20"/>
              <w:ind w:left="20"/>
              <w:jc w:val="both"/>
            </w:pPr>
            <w:r>
              <w:rPr>
                <w:rFonts w:ascii="Times New Roman"/>
                <w:b w:val="false"/>
                <w:i w:val="false"/>
                <w:color w:val="000000"/>
                <w:sz w:val="20"/>
              </w:rPr>
              <w:t>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w:t>
            </w:r>
          </w:p>
          <w:p>
            <w:pPr>
              <w:spacing w:after="20"/>
              <w:ind w:left="20"/>
              <w:jc w:val="both"/>
            </w:pPr>
            <w:r>
              <w:rPr>
                <w:rFonts w:ascii="Times New Roman"/>
                <w:b w:val="false"/>
                <w:i w:val="false"/>
                <w:color w:val="000000"/>
                <w:sz w:val="20"/>
              </w:rPr>
              <w:t xml:space="preserve">
 тұрған азаматтардың </w:t>
            </w:r>
          </w:p>
          <w:p>
            <w:pPr>
              <w:spacing w:after="20"/>
              <w:ind w:left="20"/>
              <w:jc w:val="both"/>
            </w:pPr>
            <w:r>
              <w:rPr>
                <w:rFonts w:ascii="Times New Roman"/>
                <w:b w:val="false"/>
                <w:i w:val="false"/>
                <w:color w:val="000000"/>
                <w:sz w:val="20"/>
              </w:rPr>
              <w:t>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басқарылатын аспирациялық катетер (қақырықтан тазарту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түтігі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 бекіту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түтіктің астына салуға арналған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қолданатын Жанне шприцтері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түтігі (баланы тамақтандыру үшін) F-16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арналған бітегіш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Глютенсыз арнайы ұн</w:t>
            </w:r>
          </w:p>
          <w:p>
            <w:pPr>
              <w:spacing w:after="20"/>
              <w:ind w:left="20"/>
              <w:jc w:val="both"/>
            </w:pPr>
            <w:r>
              <w:rPr>
                <w:rFonts w:ascii="Times New Roman"/>
                <w:b w:val="false"/>
                <w:i w:val="false"/>
                <w:color w:val="000000"/>
                <w:sz w:val="20"/>
              </w:rPr>
              <w:t>
Глютенсіз кондитерлік өнімдер</w:t>
            </w:r>
          </w:p>
          <w:p>
            <w:pPr>
              <w:spacing w:after="20"/>
              <w:ind w:left="20"/>
              <w:jc w:val="both"/>
            </w:pPr>
            <w:r>
              <w:rPr>
                <w:rFonts w:ascii="Times New Roman"/>
                <w:b w:val="false"/>
                <w:i w:val="false"/>
                <w:color w:val="000000"/>
                <w:sz w:val="20"/>
              </w:rPr>
              <w:t>
Глютенсіз макарондық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Кистозды фиброз </w:t>
            </w:r>
          </w:p>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