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8ab7" w14:textId="ef48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спорт және туризм салаларындағы білім беру ұйымдарында жоғары және жоғары оқу орнынан кейінгі білімі бар, сондай-ақ техникалық және кәсіптік, орта білімнен кейінгі білімі бар кадрларды даярлауға 2023 – 2024 оқу жылына арналған мемлекеттік білім беру тапсырысын орналастыру және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23 тамыздағы № 233 бұйрығы. Күші жойылды - Қазақстан Республикасы Мәдениет және ақпарат министрінің 2023 жылғы 10 қазандағы № 396-НҚ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10.10.2023 </w:t>
      </w:r>
      <w:r>
        <w:rPr>
          <w:rFonts w:ascii="Times New Roman"/>
          <w:b w:val="false"/>
          <w:i w:val="false"/>
          <w:color w:val="ff0000"/>
          <w:sz w:val="28"/>
        </w:rPr>
        <w:t>№ 396-НҚ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23-7) тармақшасына</w:t>
      </w:r>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61) тармақшасына</w:t>
      </w:r>
      <w:r>
        <w:rPr>
          <w:rFonts w:ascii="Times New Roman"/>
          <w:b w:val="false"/>
          <w:i w:val="false"/>
          <w:color w:val="000000"/>
          <w:sz w:val="28"/>
        </w:rPr>
        <w:t xml:space="preserve"> және "Қазақстан Республикасындағы туристік қызмет туралы" Қазақстан Республикасы Заңының 11-бабының </w:t>
      </w:r>
      <w:r>
        <w:rPr>
          <w:rFonts w:ascii="Times New Roman"/>
          <w:b w:val="false"/>
          <w:i w:val="false"/>
          <w:color w:val="000000"/>
          <w:sz w:val="28"/>
        </w:rPr>
        <w:t>20-8) тармақшасына</w:t>
      </w:r>
      <w:r>
        <w:rPr>
          <w:rFonts w:ascii="Times New Roman"/>
          <w:b w:val="false"/>
          <w:i w:val="false"/>
          <w:color w:val="000000"/>
          <w:sz w:val="28"/>
        </w:rPr>
        <w:t xml:space="preserve"> сәйкес, сондай-ақ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кадрларды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қаулысын</w:t>
      </w:r>
      <w:r>
        <w:rPr>
          <w:rFonts w:ascii="Times New Roman"/>
          <w:b w:val="false"/>
          <w:i w:val="false"/>
          <w:color w:val="000000"/>
          <w:sz w:val="28"/>
        </w:rPr>
        <w:t xml:space="preserve">, сондай-ақ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іске асыру мақсатында, БҰЙЫРАМЫН:</w:t>
      </w:r>
    </w:p>
    <w:bookmarkEnd w:id="0"/>
    <w:bookmarkStart w:name="z2" w:id="1"/>
    <w:p>
      <w:pPr>
        <w:spacing w:after="0"/>
        <w:ind w:left="0"/>
        <w:jc w:val="both"/>
      </w:pPr>
      <w:r>
        <w:rPr>
          <w:rFonts w:ascii="Times New Roman"/>
          <w:b w:val="false"/>
          <w:i w:val="false"/>
          <w:color w:val="000000"/>
          <w:sz w:val="28"/>
        </w:rPr>
        <w:t>
      1. Осы бұйрыққа:</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2023-2024 оқу жылына жоғары және жоғары оқу орнынан кейінгі білімі бар кадрларды даярлауға мемлекеттік білім беру тапсырысын орналастыру үшін жоғары және жоғары оқу орнынан кейінгі білімі бар кадрларды даярлау бойынша қызметтерін көрсететін әлеуетті өнім берушілердің тізбесі;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2023-2024 оқу жылына білім беру бағдарламаларының топтары бойынша жоғары және жоғары оқу орнынан кейінгі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 бекітілсін;</w:t>
      </w:r>
    </w:p>
    <w:bookmarkEnd w:id="3"/>
    <w:bookmarkStart w:name="z5" w:id="4"/>
    <w:p>
      <w:pPr>
        <w:spacing w:after="0"/>
        <w:ind w:left="0"/>
        <w:jc w:val="both"/>
      </w:pPr>
      <w:r>
        <w:rPr>
          <w:rFonts w:ascii="Times New Roman"/>
          <w:b w:val="false"/>
          <w:i w:val="false"/>
          <w:color w:val="000000"/>
          <w:sz w:val="28"/>
        </w:rPr>
        <w:t>
      2. Осы бұйрыққа:</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3-қосымшаға</w:t>
      </w:r>
      <w:r>
        <w:rPr>
          <w:rFonts w:ascii="Times New Roman"/>
          <w:b w:val="false"/>
          <w:i w:val="false"/>
          <w:color w:val="000000"/>
          <w:sz w:val="28"/>
        </w:rPr>
        <w:t xml:space="preserve"> сәйкес мәдениет және туризм салаларындағы білім беру ұйымдарында 2023-2024 оқу жылына арналған жоғары білімі бар кадрларды даярлаудың мемлекеттік білім беру тапсырысы;</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4-қосымшаға</w:t>
      </w:r>
      <w:r>
        <w:rPr>
          <w:rFonts w:ascii="Times New Roman"/>
          <w:b w:val="false"/>
          <w:i w:val="false"/>
          <w:color w:val="000000"/>
          <w:sz w:val="28"/>
        </w:rPr>
        <w:t xml:space="preserve"> сәйкес мәдениет саласындағы білім беру ұйымдарында 2023-2024 оқу жылына арналған жоғары оқу орнынан кейінгі білімі бар кадрларды даярлаудың мемлекеттік білім беру тапсырысы;</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5-қосымшаға</w:t>
      </w:r>
      <w:r>
        <w:rPr>
          <w:rFonts w:ascii="Times New Roman"/>
          <w:b w:val="false"/>
          <w:i w:val="false"/>
          <w:color w:val="000000"/>
          <w:sz w:val="28"/>
        </w:rPr>
        <w:t xml:space="preserve"> сәйкес мәдениет саласындағы білім беру ұйымдарында техникалық және кәсіптік білім беру бағдарламаларын іске асыратын білім беру ұйымдарында 2023-2024 оқу жылына арналған техникалық және кәсіптік, орта білімі бар кадрларды даярлаудың мемлекеттік білім беру тапсырысы;</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6-қосымшаға</w:t>
      </w:r>
      <w:r>
        <w:rPr>
          <w:rFonts w:ascii="Times New Roman"/>
          <w:b w:val="false"/>
          <w:i w:val="false"/>
          <w:color w:val="000000"/>
          <w:sz w:val="28"/>
        </w:rPr>
        <w:t xml:space="preserve"> сәйкес спорт саласындағы білім беру ұйымдарында техникалық және кәсіптік білім беру бағдарламаларын іске асыратын білім беру ұйымдарында 2023 - 2024 оқу жылына арналған техникалық және кәсіптік, орта білімі бар кадрларды даярлаудың мемлекеттік білім беру тапсырысы бөлінсін.</w:t>
      </w:r>
    </w:p>
    <w:bookmarkEnd w:id="8"/>
    <w:bookmarkStart w:name="z10" w:id="9"/>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және ғылыми жұмыс департаменті заңнамада белгіленген тәртіппен:</w:t>
      </w:r>
    </w:p>
    <w:bookmarkEnd w:id="9"/>
    <w:bookmarkStart w:name="z11" w:id="10"/>
    <w:p>
      <w:pPr>
        <w:spacing w:after="0"/>
        <w:ind w:left="0"/>
        <w:jc w:val="both"/>
      </w:pPr>
      <w:r>
        <w:rPr>
          <w:rFonts w:ascii="Times New Roman"/>
          <w:b w:val="false"/>
          <w:i w:val="false"/>
          <w:color w:val="000000"/>
          <w:sz w:val="28"/>
        </w:rPr>
        <w:t xml:space="preserve">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0"/>
    <w:bookmarkStart w:name="z12" w:id="11"/>
    <w:p>
      <w:pPr>
        <w:spacing w:after="0"/>
        <w:ind w:left="0"/>
        <w:jc w:val="both"/>
      </w:pPr>
      <w:r>
        <w:rPr>
          <w:rFonts w:ascii="Times New Roman"/>
          <w:b w:val="false"/>
          <w:i w:val="false"/>
          <w:color w:val="000000"/>
          <w:sz w:val="28"/>
        </w:rPr>
        <w:t>
      2) осы бұйрық қолданысқа енгізілгеннен кейін бес жұмыс күні ішінде оны Қазақстан Республикасы Мәдениет және спорт министрлігінің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2023-2024 оқу жылына жоғары және жоғары оқу орнынан кейінгі білімі бар кадрларды даярлауға мемлекеттік білім беру тапсырысын орналастыру үшін жоғары және жоғары оқу орнынан кейінгі білімі бар кадрларды даярлау бойынша қызметтерін көрсететін әлеуетті өнім берушілердің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2023-2024 оқу жылына білім беру бағдарламаларының топтары бойынша жоғары және жоғары оқу орнынан кейінгі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 Жоғары білім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B021 -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В022 -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B023 -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B024 -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В025 - Дирижирлау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В026 -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bl>
    <w:p>
      <w:pPr>
        <w:spacing w:after="0"/>
        <w:ind w:left="0"/>
        <w:jc w:val="both"/>
      </w:pPr>
      <w:r>
        <w:rPr>
          <w:rFonts w:ascii="Times New Roman"/>
          <w:b w:val="false"/>
          <w:i w:val="false"/>
          <w:color w:val="000000"/>
          <w:sz w:val="28"/>
        </w:rPr>
        <w:t>
      Жоғары оқу орнынан кейінгі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M006 - Музыка педагогтарын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М022 -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М023 -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M024 -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M025 - Дәстүрлі музыкалық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M026 -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M027 - Дирижирлау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M028 -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M030 -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M034 -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M037 -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20" w:id="16"/>
    <w:p>
      <w:pPr>
        <w:spacing w:after="0"/>
        <w:ind w:left="0"/>
        <w:jc w:val="left"/>
      </w:pPr>
      <w:r>
        <w:rPr>
          <w:rFonts w:ascii="Times New Roman"/>
          <w:b/>
          <w:i w:val="false"/>
          <w:color w:val="000000"/>
        </w:rPr>
        <w:t xml:space="preserve"> 2023-2024 оқу жылына арналған  жоғары білімі бар кадрларды даярлаудың мемлекеттік білім беру тапсырысын орналастыру және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"Темірбек Жүргенов атындағы Қазақ ұлттық өнер академиясы" республикалық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 ұлттық өнер университеті" республикалық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"Құрманғазы атындағы Қазақ ұлттық консерваториясы" республикалық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 ұлттық хореография академиясы" шаруашылық жүргізу құқығындағы республикалық мемлекеттік кәсіпорны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"Халықаралық туризм және меймандостық университеті" коммерциялық емес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 бойынша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2023-2024 оқу жылына арналған  жоғары оқу орнынан кейінгі білімі бар кадрларды даярлаудың мемлекеттік білім беру тапсырысын орналастыру және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5-қосымша</w:t>
            </w:r>
          </w:p>
        </w:tc>
      </w:tr>
    </w:tbl>
    <w:bookmarkStart w:name="z24" w:id="18"/>
    <w:p>
      <w:pPr>
        <w:spacing w:after="0"/>
        <w:ind w:left="0"/>
        <w:jc w:val="left"/>
      </w:pPr>
      <w:r>
        <w:rPr>
          <w:rFonts w:ascii="Times New Roman"/>
          <w:b/>
          <w:i w:val="false"/>
          <w:color w:val="000000"/>
        </w:rPr>
        <w:t xml:space="preserve"> 2023-2024 оқу жылына арналған мәдениет саласындағы білім беру ұйымдарында техникалық және кәсіптік білімі бар кадрларды даярлаудың мемлекеттік білім беру тапсырысын орналастыру және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 және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 ұлттық өнер университеті"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"Оркестр әртісі (дирижер),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"Суретші-декораторі"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"Темірбек Жүргенов атындағы Қазақ ұлттық өнер академиясы"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"Музыка театрының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 ұлттық хореография академиясы" шаруашылық жүргізу құқығындағы республикалық мемлекеттік кәсіпорнының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"Жүсіпбек Елебеков атындағы республикалық эстрадалық-цирк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w:t>
            </w:r>
          </w:p>
          <w:p>
            <w:pPr>
              <w:spacing w:after="20"/>
              <w:ind w:left="20"/>
              <w:jc w:val="both"/>
            </w:pPr>
            <w:r>
              <w:rPr>
                <w:rFonts w:ascii="Times New Roman"/>
                <w:b w:val="false"/>
                <w:i w:val="false"/>
                <w:color w:val="000000"/>
                <w:sz w:val="20"/>
              </w:rPr>
              <w:t>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p>
            <w:pPr>
              <w:spacing w:after="20"/>
              <w:ind w:left="20"/>
              <w:jc w:val="both"/>
            </w:pPr>
            <w:r>
              <w:rPr>
                <w:rFonts w:ascii="Times New Roman"/>
                <w:b w:val="false"/>
                <w:i w:val="false"/>
                <w:color w:val="000000"/>
                <w:sz w:val="20"/>
              </w:rPr>
              <w:t>
"Хор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p>
            <w:pPr>
              <w:spacing w:after="20"/>
              <w:ind w:left="20"/>
              <w:jc w:val="both"/>
            </w:pPr>
            <w:r>
              <w:rPr>
                <w:rFonts w:ascii="Times New Roman"/>
                <w:b w:val="false"/>
                <w:i w:val="false"/>
                <w:color w:val="000000"/>
                <w:sz w:val="20"/>
              </w:rPr>
              <w:t>
"Сөз сөйлеу жанрының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"Петр Чайковский атындағы Алматы музыкалық колледжі"</w:t>
            </w:r>
          </w:p>
          <w:p>
            <w:pPr>
              <w:spacing w:after="20"/>
              <w:ind w:left="20"/>
              <w:jc w:val="both"/>
            </w:pPr>
            <w:r>
              <w:rPr>
                <w:rFonts w:ascii="Times New Roman"/>
                <w:b w:val="false"/>
                <w:i w:val="false"/>
                <w:color w:val="000000"/>
                <w:sz w:val="20"/>
              </w:rPr>
              <w:t>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"Орал Таңсықбаев атындағы сәндік-қолданбалы өнер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"Суретші-декоратор"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p>
            <w:pPr>
              <w:spacing w:after="20"/>
              <w:ind w:left="20"/>
              <w:jc w:val="both"/>
            </w:pPr>
            <w:r>
              <w:rPr>
                <w:rFonts w:ascii="Times New Roman"/>
                <w:b w:val="false"/>
                <w:i w:val="false"/>
                <w:color w:val="000000"/>
                <w:sz w:val="20"/>
              </w:rPr>
              <w:t>
(станокты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"Александр Селезнев атындағы Алматы хореографиялық училищесі"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p>
            <w:pPr>
              <w:spacing w:after="20"/>
              <w:ind w:left="20"/>
              <w:jc w:val="both"/>
            </w:pPr>
            <w:r>
              <w:rPr>
                <w:rFonts w:ascii="Times New Roman"/>
                <w:b w:val="false"/>
                <w:i w:val="false"/>
                <w:color w:val="000000"/>
                <w:sz w:val="20"/>
              </w:rPr>
              <w:t>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ансамблі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6-қосымша</w:t>
            </w:r>
          </w:p>
        </w:tc>
      </w:tr>
    </w:tbl>
    <w:bookmarkStart w:name="z26" w:id="19"/>
    <w:p>
      <w:pPr>
        <w:spacing w:after="0"/>
        <w:ind w:left="0"/>
        <w:jc w:val="left"/>
      </w:pPr>
      <w:r>
        <w:rPr>
          <w:rFonts w:ascii="Times New Roman"/>
          <w:b/>
          <w:i w:val="false"/>
          <w:color w:val="000000"/>
        </w:rPr>
        <w:t xml:space="preserve"> 2023-2024 оқу жылына арналған спорт саласындағы білім беру ұйымдарында техникалық және кәсіптік білімі бар кадрларды даярлаудың мемлекеттік білім беру тапсырысын орналастыру және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 және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"Республикалық спорт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p>
            <w:pPr>
              <w:spacing w:after="20"/>
              <w:ind w:left="20"/>
              <w:jc w:val="both"/>
            </w:pPr>
            <w:r>
              <w:rPr>
                <w:rFonts w:ascii="Times New Roman"/>
                <w:b w:val="false"/>
                <w:i w:val="false"/>
                <w:color w:val="000000"/>
                <w:sz w:val="20"/>
              </w:rPr>
              <w:t>
"Спорт жаттықтырушысы –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"Кәркен Ахметов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p>
            <w:pPr>
              <w:spacing w:after="20"/>
              <w:ind w:left="20"/>
              <w:jc w:val="both"/>
            </w:pPr>
            <w:r>
              <w:rPr>
                <w:rFonts w:ascii="Times New Roman"/>
                <w:b w:val="false"/>
                <w:i w:val="false"/>
                <w:color w:val="000000"/>
                <w:sz w:val="20"/>
              </w:rPr>
              <w:t>
"Спорт жаттықтырушысы –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p>
            <w:pPr>
              <w:spacing w:after="20"/>
              <w:ind w:left="20"/>
              <w:jc w:val="both"/>
            </w:pPr>
            <w:r>
              <w:rPr>
                <w:rFonts w:ascii="Times New Roman"/>
                <w:b w:val="false"/>
                <w:i w:val="false"/>
                <w:color w:val="000000"/>
                <w:sz w:val="20"/>
              </w:rPr>
              <w:t>
"Спорт жаттықтырушысы –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p>
            <w:pPr>
              <w:spacing w:after="20"/>
              <w:ind w:left="20"/>
              <w:jc w:val="both"/>
            </w:pPr>
            <w:r>
              <w:rPr>
                <w:rFonts w:ascii="Times New Roman"/>
                <w:b w:val="false"/>
                <w:i w:val="false"/>
                <w:color w:val="000000"/>
                <w:sz w:val="20"/>
              </w:rPr>
              <w:t>
"Спорт жаттықтырушысы –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"Риддер қаласындағы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p>
            <w:pPr>
              <w:spacing w:after="20"/>
              <w:ind w:left="20"/>
              <w:jc w:val="both"/>
            </w:pPr>
            <w:r>
              <w:rPr>
                <w:rFonts w:ascii="Times New Roman"/>
                <w:b w:val="false"/>
                <w:i w:val="false"/>
                <w:color w:val="000000"/>
                <w:sz w:val="20"/>
              </w:rPr>
              <w:t>
"Спорт жаттықтырушысы –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