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fbd3" w14:textId="272f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2022 жылғы 22 желтоқсандағы № 208 "2023-2025 жылдарға арналған ауылдардың, кенттердің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27 сәуірдегі № 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2022 жылғы 22 желтоқсандағы № 208 "2023-2025 жылдарға арналған ауылдардың, кенттердің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176199 болып тіркелген 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373 821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342 296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379 621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5 800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– 2025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29 159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23 667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30 559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– 2025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33 167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4 185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28 982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33 787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620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– 2025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215 262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4 808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210 217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–217 287мың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-2 025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2 025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2 025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– 2025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369 605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–365 128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370 380 мың теңге;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775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– 2025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37 803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6 256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31 547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38 502 мың теңге;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-699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– 2025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477 800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5 831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249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471 720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478 921мың теңге;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1 121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1 121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 – 2025 жылдарға арналған Құлөнтпес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24 581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1 880мың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22701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25 003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 – 2025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28 396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2 514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25 882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29 546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1 150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 – 2025жылдарға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34 575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32 798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34 935 мың теңге;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 – 2025жылдарға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324 536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321 475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325 817 мың теңге;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1 281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1 281 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 – 2025жылдарға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224 722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2 720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222 002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225 996 мың теңге;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-1 274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1 274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1 274 мың теңге.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 – 2025жылдарға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123 169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3 937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119 232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125 250 мың теңге;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-2 081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2 081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2 081 мың теңге.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 – 2025жылдарға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31 773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1 502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30 195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32 114 мың теңге; 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-341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341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 мың теңге.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 – 2025жылдарға арналған Соналы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25 991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2 156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23 835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27 991 мың теңге; 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 – 2025жылдарға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39 160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5 907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33 253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39 706 мың теңге; 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 мың теңге.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 – 2025жылдарға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25 884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1 280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24 604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27 864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-1 980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1 980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1 980 мың теңге.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 – 2025жылдарға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26 652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4 302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22 350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31 472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-4 820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4 820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4 820 мың теңге.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кентінің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Шұбаркөл кентінің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5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Мұзбел ауылының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Тассуат ауылының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6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 ауылының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6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Шахтерское ауылының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Ахмет ауылының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7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Құланөтпес ауылының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Жараспай ауылының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8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Ақмешіт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8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Байтуған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8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Кәрім Мыңбаев ауылының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8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Кертінді ауылының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39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ауылының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39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Соналы ауылының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39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Баршын ауылының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40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Құланөтпес ауылының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40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ауылының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