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999c" w14:textId="50b9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22 мамырдағы № 30/қе бұйрығы</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124014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Заңды тұлғаның орналаскан жері: 160225, Қазақстан Республикасы, Түркістан облысы, Түркістан қаласы, 32-көше, 11-ғимарат.".</w:t>
      </w:r>
    </w:p>
    <w:bookmarkEnd w:id="0"/>
    <w:bookmarkStart w:name="z5" w:id="1"/>
    <w:p>
      <w:pPr>
        <w:spacing w:after="0"/>
        <w:ind w:left="0"/>
        <w:jc w:val="both"/>
      </w:pPr>
      <w:r>
        <w:rPr>
          <w:rFonts w:ascii="Times New Roman"/>
          <w:b w:val="false"/>
          <w:i w:val="false"/>
          <w:color w:val="000000"/>
          <w:sz w:val="28"/>
        </w:rPr>
        <w:t>
      2. Қазақстан Республикасы Ұлттық қауіпсіздік комитеті Түркістан облысы бойынша департаменті заңмен белгіленген тәртіпте:</w:t>
      </w:r>
    </w:p>
    <w:bookmarkEnd w:id="1"/>
    <w:bookmarkStart w:name="z6" w:id="2"/>
    <w:p>
      <w:pPr>
        <w:spacing w:after="0"/>
        <w:ind w:left="0"/>
        <w:jc w:val="both"/>
      </w:pPr>
      <w:r>
        <w:rPr>
          <w:rFonts w:ascii="Times New Roman"/>
          <w:b w:val="false"/>
          <w:i w:val="false"/>
          <w:color w:val="000000"/>
          <w:sz w:val="28"/>
        </w:rPr>
        <w:t>
      1) осы бұйрық қол қойылған күнінен бастап күнтізбелік жиырма күн ішінде оның мемлекеттік және орыс тілдеріндегі қағаз және электронды түрдегі көшірмесін ресми жариялауға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қосу үшін жіберілуін;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өзгеріс туралы Қазақстан Республикасы Әділет министрлігінің тиісті аумақтық органнын бір айлық мерзім ішінде хабардар етсін;</w:t>
      </w:r>
    </w:p>
    <w:bookmarkStart w:name="z8"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орналастырсын.</w:t>
      </w:r>
    </w:p>
    <w:bookmarkEnd w:id="3"/>
    <w:bookmarkStart w:name="z9"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