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0140" w14:textId="5150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15 "2023-2025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24 тамыздағы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2022 жылғы 22 желтоқсаңдағы №15 "2023-2025 жылдарға арналған ауданның ауылдары, кенттері, ауылдық округтерінің бюджеттері туралы" (Нормативтік құқықтық актілерді мемлекеттік тіркеу тізілімінде №176592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425 916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42 530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382 586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428 550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152 885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22 700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130 185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158 961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59 771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148 524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136 615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11 909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152 940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306 053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23 727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10 572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271 754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306 588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145 334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18 520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5 416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121 398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148 400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68 809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65 345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69 534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86 294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10 010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76 284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86 778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112 763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13 139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99 624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115 508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2 745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239 285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9 488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229 357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240 503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76 307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134 805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36 271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7 092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91 269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136 465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61 994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5 303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56 691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63 227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1 233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45 478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42 597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45 549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49 242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1 609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47 633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49 461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73 293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1 896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71 397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73 450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36 428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63 262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4 376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58 886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63 870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35 176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1 945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33 231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39 740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4 564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56 079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1 755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54 324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57 038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80 789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8 926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71 863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80 875 мың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59 387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3 693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55 694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59 912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51 627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72 324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5 843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66 481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72 356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35 616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2023-2025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65 295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3 520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61 415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65 455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82 662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13 048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1 900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67 714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83 048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2023-2025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67 857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5 564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62 293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67 966 мың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38 843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1 292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37 551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38 953 мың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68 872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6 946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61 926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71 001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2 129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34 010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2023-2025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75 702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5 392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70 310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76 653 мың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951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2023-2025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81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81 932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2 118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79 814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82 394 мың теңге;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71 226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64 676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72 784 мың теңге;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2023-2025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62 133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51 001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10 045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64 538 мың теңге;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2 405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2023 жылдың 1 қаңтарынан бастап қолданысқа енгізіледі.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