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e2d1" w14:textId="249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Дубовка ауылдық округі Дубовка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Дубовка ауылдық округінің әкімінің 2023 жылғы 6 қыркүйектегі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Дубовка ауылы тұрғындарының пікірін ескере отырып және Қарағанды облысы әкімдігінің жанындағы облыстық ономастика комиссиясының 2023 жылғы 19 шілдедегі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Дубовка ауылындағы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Алабасская көшесі Алабас көшесіне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Волынская көшесі Ынтымақ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Ленина көшесі Алаш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Геофизическая көшесі Сайрам көшесіне.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көшесі Қ.Аманжолов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лет Победы көшесі Жеңіс көшесіне.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50 лет Казахстана көшесі Тұран көшесіне.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Олимпийская көшесі Отырар көшесіне.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Космонавтов көшесі Байқоңыр көшесіне.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Юбилейная көшесі Абай көшесіне.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Сатпаева көшесі Қ.Сәтпаев көшесіне.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Сокурская көшесі Соқыр көшесіне.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Степная көшесі Жайық көшесіне.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Дубовка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Кисраунов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