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22b4" w14:textId="78e2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қаласы әкімінің аппараты" мемлекеттік мекемесінің Ережесіне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2023 жылғы 26 мамырдағы № 24/06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01.07.2023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инновацияларды ынталандыру, цифрландыруды, ақпараттық қауіпсіздікті дамыту және білім беру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"Шахтинск қаласы әкімінің аппараты" мемлекеттік мекемесінің Ережесін бекіту туралы" Шахтинск қаласы әкімдігінің 2022 жылғы 2 маусымдағы №29/14 қаулысымен бекітілген "Шахтинск қаласы әкімінің аппараты"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Шахтинск қаласы әкімі аппаратының басшысы Н.Ю. Циолковскаяға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жылғы 1 шілдеден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24/06 қаулысына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"Шахтинск қаласы әкімінің аппараты" мемлекеттік мекемесінің Ережесін бекіту туралы" Шахтинск қаласы әкімдігінің 2022 жылғы 2 маусымдағы №29/14 қаулысымен бекітілген "Шахтинск қаласы әкімінің аппараты"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14-тармақта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