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c46e" w14:textId="171c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27 шілдедегі № 51/03 бірлескен қаулысы және Қарағанды облыстық мәслихатының 2023 жылғы 27 шілдедегі № 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11–бабының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жанындағы облыстық ономастика комиссиясының 2022 жылғы 19 қазандағы қорытындысы негізінде және тиісті аумақ халқының пікірін ескере отырып, Қарағанды облысының әкімдігі ҚАУЛЫ ЕТЕДІ және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 Үштөбе ауылдық округіндегі Новостройка ауылы – Атамекен ауылы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Осакаров ауданының келесі ауылдық округтері мен ауылдарының аты қайта аталсын: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ауылдық округі – Жұлдыз ауылдық округіне;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 – Нияз ауылдық округіне;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ауылдық округіндегі Звездное ауылы – Жұлдыз ауылына;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округіндегі Комсомольское ауылы – Қайыңды ауылына;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округіндегі Сенакосное ауылы – Қаратомар ауылына;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округіндегі Тельманское ауылы – Қаракөл ауылына;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ауылдық округіндегі Чапаево ауылы – Жаңатоған ауылына.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Қарағанды облысы әкімдігінің қаулысы және Қарағанды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