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52a6" w14:textId="45e5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24 шiлдедегi № 539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"8. Инспекцияның орналасқан жері: Қазақстан Республикасы, 040000, Алматы облысы, Қонаев қаласы, Рауан шағын ауданы, 6 – линия көшесі, үй №1.".</w:t>
      </w:r>
    </w:p>
    <w:bookmarkEnd w:id="2"/>
    <w:bookmarkStart w:name="z5" w:id="3"/>
    <w:p>
      <w:pPr>
        <w:spacing w:after="0"/>
        <w:ind w:left="0"/>
        <w:jc w:val="both"/>
      </w:pPr>
      <w:r>
        <w:rPr>
          <w:rFonts w:ascii="Times New Roman"/>
          <w:b w:val="false"/>
          <w:i w:val="false"/>
          <w:color w:val="000000"/>
          <w:sz w:val="28"/>
        </w:rPr>
        <w:t>
      2. Қазақстан Республикасы Индустрия жəне инфрақұрылымдық даму министрлігінің Көлік комитеті:</w:t>
      </w:r>
    </w:p>
    <w:bookmarkEnd w:id="3"/>
    <w:bookmarkStart w:name="z6" w:id="4"/>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Республикасының Индустрия жəне инфрақұрылымдық даму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Щеглова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