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78f98" w14:textId="6b78f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Ғарыш жүйелерінің ұлттық операторларын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20 маусымдағы № 195/НҚ бұйрығы. Күші жойылды - Қазақстан Республикасының Цифрлық даму, инновациялар және аэроғарыш өнеркәсібі министрінің 2024 жылғы 19 сәуірдегі № 243/НҚ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19.04.2024 </w:t>
      </w:r>
      <w:r>
        <w:rPr>
          <w:rFonts w:ascii="Times New Roman"/>
          <w:b w:val="false"/>
          <w:i w:val="false"/>
          <w:color w:val="ff0000"/>
          <w:sz w:val="28"/>
        </w:rPr>
        <w:t>№ 243/НҚ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"Ғарыш қызметі туралы" Қазақстан Республикасы Заңының 9-бабы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1) "Республикалық ғарыштық байланыс орталығы" акционерлік қоғамы ғарыштық байланыс жүйесінің ұлттық операторы;</w:t>
      </w:r>
    </w:p>
    <w:bookmarkEnd w:id="2"/>
    <w:bookmarkStart w:name="z4" w:id="3"/>
    <w:p>
      <w:pPr>
        <w:spacing w:after="0"/>
        <w:ind w:left="0"/>
        <w:jc w:val="both"/>
      </w:pPr>
      <w:r>
        <w:rPr>
          <w:rFonts w:ascii="Times New Roman"/>
          <w:b w:val="false"/>
          <w:i w:val="false"/>
          <w:color w:val="000000"/>
          <w:sz w:val="28"/>
        </w:rPr>
        <w:t>
      2) "Қазақстан Ғарыш Сапары" ұлттық компаниясы" акционерлік қоғамы Жерді қашықтықтан зондтау ғарыш жүйесінің ұлттық операторы және дәлдігі жоғары спутниктік навигация жүйесінің ұлттық операторы болып айқындалсын.</w:t>
      </w:r>
    </w:p>
    <w:bookmarkEnd w:id="3"/>
    <w:bookmarkStart w:name="z5" w:id="4"/>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Аэроғарыш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оның қазақ және орыс тілдеріндегі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жүктелсiн.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Бәсекелестікті қорғау және </w:t>
      </w:r>
    </w:p>
    <w:p>
      <w:pPr>
        <w:spacing w:after="0"/>
        <w:ind w:left="0"/>
        <w:jc w:val="both"/>
      </w:pPr>
      <w:r>
        <w:rPr>
          <w:rFonts w:ascii="Times New Roman"/>
          <w:b w:val="false"/>
          <w:i w:val="false"/>
          <w:color w:val="000000"/>
          <w:sz w:val="28"/>
        </w:rPr>
        <w:t>
      дамыту агенттігі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