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76e5" w14:textId="fe07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арнайы көлік құралдарының тиесілік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министрінің 2023 жылғы 21 қарашадағы № 86 бұйрығы. Күші жойылды - Қазақстан Республикасы Көлік министрінің м.а. 2025 жылғы 30 сәуірдегі № 142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30.04.2025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арнайы көлік құралдарының тиесілік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Көлік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көлігінiң тиесілік заттай нормалары бекiтiлсiн.</w:t>
      </w:r>
    </w:p>
    <w:bookmarkEnd w:id="4"/>
    <w:bookmarkStart w:name="z6" w:id="5"/>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министрлігінің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3" w:id="10"/>
    <w:p>
      <w:pPr>
        <w:spacing w:after="0"/>
        <w:ind w:left="0"/>
        <w:jc w:val="left"/>
      </w:pPr>
      <w:r>
        <w:rPr>
          <w:rFonts w:ascii="Times New Roman"/>
          <w:b/>
          <w:i w:val="false"/>
          <w:color w:val="000000"/>
        </w:rPr>
        <w:t xml:space="preserve"> Қазақстан Республикасы Көлік министрлігінің арнайы көлік құралдарының тиесілік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пайдаланатын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автомобиль көлігі мен автожолдарда бақылауды жүргізу; су көлігінде кеме қатынасының қауіпсіздігін қамтамасыз ету мақсатында тексеріп қарауды, кемелерді, жағалаудағы объектілерді, гидроқұрылыстарды, порттарды, кемежайларды, шығанақтарды, шағын көлемді және балық аулайтын кемелерге арналған база-тұрақтарды техникалық куәландыруды жүргізу; теміржол көлігінде жолдың жоғарғы қабатын, магистральдық, станциялық және өзге де технологиялық жолдарды, инженерлік құрылыстарға техникалық куәландыруды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 және оның аумақтық инспекциялары: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әкімшілігі"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5" w:id="11"/>
    <w:p>
      <w:pPr>
        <w:spacing w:after="0"/>
        <w:ind w:left="0"/>
        <w:jc w:val="left"/>
      </w:pPr>
      <w:r>
        <w:rPr>
          <w:rFonts w:ascii="Times New Roman"/>
          <w:b/>
          <w:i w:val="false"/>
          <w:color w:val="000000"/>
        </w:rPr>
        <w:t xml:space="preserve"> Қазақстан Республикасы Көлік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пайдалануға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жөндеу және ұстау кезінде жұмыстар мен материалдардың сапасына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Көстанайжолзертханасы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Алматықалалықжолзертханасы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*Арнайы көлік құралы – жеңіл автомобиль базасындағы, автомобиль жолдарын салу, жөндеу және ұстау кезінде жұмыстар мен материалдардың сапасына сараптама жүргізуге арналған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18" w:id="12"/>
    <w:p>
      <w:pPr>
        <w:spacing w:after="0"/>
        <w:ind w:left="0"/>
        <w:jc w:val="left"/>
      </w:pPr>
      <w:r>
        <w:rPr>
          <w:rFonts w:ascii="Times New Roman"/>
          <w:b/>
          <w:i w:val="false"/>
          <w:color w:val="000000"/>
        </w:rPr>
        <w:t xml:space="preserve"> Арнайы су көлігінің тиесілі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 пайдаланатын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және су көлігінде бақылауды және қадағалауды жүзеге асыру (кемелерді, жағалаудағы объектілерді,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комитетінің инспекциялары: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әкімшілігі"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*Арнайы су көлігі - ішкі су жолдарда және өзге теңіз суларында бақылау мен қадағалау функцияларын жүзеге асыру үшін пайдаланылатын кеме, оның ішінде шағын көлемді кеме.</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