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571c" w14:textId="e325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2023 жылдың І-II-III тоқсандарына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23 мамырдағы № 148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11245 болып тіркелген)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бойынша 2023 жылдың І-II-III тоқсандарына әлеуметтік маңызы бар азық-түлік тауарларына бөлшек сауда бағаларының шекті мәндері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тәртіпте осы қаулыдан туындайтын барлық қажетті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Жетісу облысы әкімінің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"___" 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2023 жылдың І- II-III тоқсандарына әлеуметтік маңызы бар азық-түлік тауарларына бөлшек сауда бағаларының шекті мәндері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ұннан жасалған бидай наны (пішінді)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(өлшеніп салынатын)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2,5%, жұмсақ қаптамада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2,5% айран, жұмсақ қаптамада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 -дан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