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01d2" w14:textId="7770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ұйымдарын жабдықтармен және жиһазбен жарақтандыру нормаларын бекіту туралы" Қазақстан Республикасы Білім және ғылым министрінің 2012 жылғы 7 наурыздағы № 97 бұйрығына өзгеріс енгізу туралы және 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3 шiлдедегi № 193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 білім беру ұйымдарын жабдықтармен және жиһазбен жарақтандыру нормаларын бекіту туралы" Қазақстан Республикасы Білім және ғылым министрінің 2012 жылғы 7 наурыздағы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5-бабы  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13272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5-бабы  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дейінгі, орта білім беру ұйымдарын, сондай-ақ арнаулы білім беру ұйымдарын құралдармен және жиһаздармен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бірінші абзацы  мынадай редакцияда жазылсын: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Педагог жоғарыда көрсетілген оқу және ойын ресурстарын (материалдар, ұсынылатын жабдықтар мен жиһаз) пайдаланады,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Оқу-ағарту министрлігінің ресми интернет-ресурсында орналастыруды;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облыстардың, Астана, Алматы және Шымкент қалалары білім басқармаларының назарына жеткізуді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