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d321" w14:textId="d9ed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2022 жылғы 29 желтоқсандағы XXVII сессиясының "2023-2025 жылдарға арналған кенттер, ауылдық округтер бюджеттері туралы" № 195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3 тамыздағы № 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"2023-2025 жылдарға арналған кенттер, ауылдық округтер бюджеттері туралы" 2022 жылғы 29 желтоқсандағы №195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№176820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261 196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256 215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261 197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381 288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20 264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361 024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385 914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- 4 626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4 626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194 482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192 483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194 483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312 695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39 114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273 581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335 509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- 22 814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22 814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22 814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194 545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189 688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194 546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62 098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57 064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62 420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60 981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58 798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61 758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131 124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130 156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131 449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325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42 686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39 868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103 628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98 553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103 629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572 365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565 975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572 876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92 829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90 142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94 433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1 604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48 314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2 901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45 413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48 336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379 678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8 439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371 239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379 679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113 310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109 730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113 316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2023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2023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2023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2023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2023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2023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2023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