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ed9" w14:textId="edc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Түгіскен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8/64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Түгіскен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Түгіскен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№21/151 "Жаңаарқа ауданының Түгіскен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8/64</w:t>
            </w:r>
          </w:p>
        </w:tc>
      </w:tr>
    </w:tbl>
    <w:bookmarkStart w:name="z11" w:id="5"/>
    <w:p>
      <w:pPr>
        <w:spacing w:after="0"/>
        <w:ind w:left="0"/>
        <w:jc w:val="left"/>
      </w:pPr>
      <w:r>
        <w:rPr>
          <w:rFonts w:ascii="Times New Roman"/>
          <w:b/>
          <w:i w:val="false"/>
          <w:color w:val="000000"/>
        </w:rPr>
        <w:t xml:space="preserve"> Жаңаарқа ауданының Түгіскен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Түгіскен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Түгіскен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9"/>
    <w:bookmarkStart w:name="z36" w:id="30"/>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8/64</w:t>
            </w:r>
          </w:p>
        </w:tc>
      </w:tr>
    </w:tbl>
    <w:bookmarkStart w:name="z40" w:id="33"/>
    <w:p>
      <w:pPr>
        <w:spacing w:after="0"/>
        <w:ind w:left="0"/>
        <w:jc w:val="left"/>
      </w:pPr>
      <w:r>
        <w:rPr>
          <w:rFonts w:ascii="Times New Roman"/>
          <w:b/>
          <w:i w:val="false"/>
          <w:color w:val="000000"/>
        </w:rPr>
        <w:t xml:space="preserve"> Жаңаарқа ауданының Түгіскен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Мақажанов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Сатан Ысқақов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Даулетбеков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Садуақасов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Ыдырыс Жұмабеков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Балмағамбет Аймұқанов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