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f4ce" w14:textId="eedf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қалалық мәслихатының 2023 жылғы 18 мамырдағы № 34 шешімі. Күші жойылды - Ұлытау облысы Қаражал қалалық мәслихатының 2025 жылғы 25 қыркүйектегі № 304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25.09.2025 </w:t>
      </w:r>
      <w:r>
        <w:rPr>
          <w:rFonts w:ascii="Times New Roman"/>
          <w:b w:val="false"/>
          <w:i w:val="false"/>
          <w:color w:val="ff0000"/>
          <w:sz w:val="28"/>
        </w:rPr>
        <w:t>№ 304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жіне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Қаражал қалалық мәслихаты ШЕШТI:</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қалалық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Қаражал қалалық мәслихатының 2022 жылғы 18 тамыздағы № 155 "Қаражал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жойылған деп танылсын.</w:t>
      </w:r>
    </w:p>
    <w:bookmarkEnd w:id="2"/>
    <w:bookmarkStart w:name="z7" w:id="3"/>
    <w:p>
      <w:pPr>
        <w:spacing w:after="0"/>
        <w:ind w:left="0"/>
        <w:jc w:val="both"/>
      </w:pPr>
      <w:r>
        <w:rPr>
          <w:rFonts w:ascii="Times New Roman"/>
          <w:b w:val="false"/>
          <w:i w:val="false"/>
          <w:color w:val="000000"/>
          <w:sz w:val="28"/>
        </w:rPr>
        <w:t>
      3. Осы шешім қол қойлған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34 шешіміне қосымша</w:t>
            </w:r>
          </w:p>
        </w:tc>
      </w:tr>
    </w:tbl>
    <w:bookmarkStart w:name="z10" w:id="4"/>
    <w:p>
      <w:pPr>
        <w:spacing w:after="0"/>
        <w:ind w:left="0"/>
        <w:jc w:val="left"/>
      </w:pPr>
      <w:r>
        <w:rPr>
          <w:rFonts w:ascii="Times New Roman"/>
          <w:b/>
          <w:i w:val="false"/>
          <w:color w:val="000000"/>
        </w:rPr>
        <w:t xml:space="preserve"> "Қаражал қалалық мәслихат аппараты" мемлекеттік мекемесінің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"Қаражал қалалық мәслихат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 сәйкес әзірленген және "Қаражал қалалық мәслихат аппараты" мемлекеттік мекемесінің (бұдан әрі–мәслихат аппараты) "Б" корпусының мемлекеттік әкімшілік қызметшілерінің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Ұлытау облысы Қаражал қалалық мәслихатының 08.11.2023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Ұлытау облысы Қаражал қалалық мәслихатының 08.11.2023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Ұлытау облысы Қаражал қалалық мәслихатының 08.11.2023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Ұлытау облысы Қаражал қалалық мәслихатының 08.11.2023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Бөлім басшысы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адаммен сондай-ақ бөлім басшысының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не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8" w:id="91"/>
    <w:p>
      <w:pPr>
        <w:spacing w:after="0"/>
        <w:ind w:left="0"/>
        <w:jc w:val="both"/>
      </w:pPr>
      <w:r>
        <w:rPr>
          <w:rFonts w:ascii="Times New Roman"/>
          <w:b w:val="false"/>
          <w:i w:val="false"/>
          <w:color w:val="000000"/>
          <w:sz w:val="28"/>
        </w:rPr>
        <w:t>
      мәслихат аппаратының басшысы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топты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3"/>
    <w:bookmarkStart w:name="z12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2"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6" w:id="119"/>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7"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9"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4"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7"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0"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1"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