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fda8" w14:textId="f2ff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3 мамырдағы № 2/21-VIII шешімі. Күші жойылды - Абай облысы Аягөз аудандық мәслихатының 2025 жылғы 12 қыркүйектегі № 28/492-VIII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12.09.2025 </w:t>
      </w:r>
      <w:r>
        <w:rPr>
          <w:rFonts w:ascii="Times New Roman"/>
          <w:b w:val="false"/>
          <w:i w:val="false"/>
          <w:color w:val="ff0000"/>
          <w:sz w:val="28"/>
        </w:rPr>
        <w:t>№ 28/492-VIII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Аягөз аудандық мәслихаты ШЕШТІ:  </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7" w:id="2"/>
    <w:p>
      <w:pPr>
        <w:spacing w:after="0"/>
        <w:ind w:left="0"/>
        <w:jc w:val="both"/>
      </w:pPr>
      <w:r>
        <w:rPr>
          <w:rFonts w:ascii="Times New Roman"/>
          <w:b w:val="false"/>
          <w:i w:val="false"/>
          <w:color w:val="000000"/>
          <w:sz w:val="28"/>
        </w:rPr>
        <w:t xml:space="preserve">
      2. "Аягөз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Аягөз аудандық мәслихаттың 2022 жылдың 31 наурыздағы №12/222-VIІ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мәслихаттың</w:t>
            </w:r>
            <w:r>
              <w:br/>
            </w:r>
            <w:r>
              <w:rPr>
                <w:rFonts w:ascii="Times New Roman"/>
                <w:b w:val="false"/>
                <w:i w:val="false"/>
                <w:color w:val="000000"/>
                <w:sz w:val="20"/>
              </w:rPr>
              <w:t>2023 жылдың 3 мамырдағы</w:t>
            </w:r>
            <w:r>
              <w:br/>
            </w:r>
            <w:r>
              <w:rPr>
                <w:rFonts w:ascii="Times New Roman"/>
                <w:b w:val="false"/>
                <w:i w:val="false"/>
                <w:color w:val="000000"/>
                <w:sz w:val="20"/>
              </w:rPr>
              <w:t>№2/21-VІIІ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"Аягөз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"Аягөз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3"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4"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9"/>
    <w:bookmarkStart w:name="z16"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 – тармағында</w:t>
      </w:r>
      <w:r>
        <w:rPr>
          <w:rFonts w:ascii="Times New Roman"/>
          <w:b w:val="false"/>
          <w:i w:val="false"/>
          <w:color w:val="000000"/>
          <w:sz w:val="28"/>
        </w:rPr>
        <w:t xml:space="preserve"> көрсетілген мерзімінде жүргізіледі.</w:t>
      </w:r>
    </w:p>
    <w:bookmarkEnd w:id="10"/>
    <w:bookmarkStart w:name="z17"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8"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2"/>
    <w:bookmarkStart w:name="z19"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20"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(бұдан әрі – персоналды басқару қызметі) міндеттерін орындау, оның ішінде ақпараттық жүйе арқылы жүктелген, "Аягөз аудандық мәслихатының аппараты" мемлекеттік мекемесінің персоналды басқарудың қызметі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15"/>
    <w:bookmarkStart w:name="z22"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23" w:id="1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bookmarkEnd w:id="17"/>
    <w:bookmarkStart w:name="z24"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18"/>
    <w:bookmarkStart w:name="z25" w:id="1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6"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7"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3"/>
    <w:p>
      <w:pPr>
        <w:spacing w:after="0"/>
        <w:ind w:left="0"/>
        <w:jc w:val="both"/>
      </w:pPr>
      <w:r>
        <w:rPr>
          <w:rFonts w:ascii="Times New Roman"/>
          <w:b w:val="false"/>
          <w:i w:val="false"/>
          <w:color w:val="000000"/>
          <w:sz w:val="28"/>
        </w:rPr>
        <w:t>
      19. Персоналды басқару қызметі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 және калибрлеу сессияларының қатысушыларына ғана белгілі болуы мүмкін.</w:t>
      </w:r>
    </w:p>
    <w:bookmarkEnd w:id="24"/>
    <w:bookmarkStart w:name="z31" w:id="25"/>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5"/>
    <w:bookmarkStart w:name="z32" w:id="2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6"/>
    <w:bookmarkStart w:name="z33" w:id="27"/>
    <w:p>
      <w:pPr>
        <w:spacing w:after="0"/>
        <w:ind w:left="0"/>
        <w:jc w:val="both"/>
      </w:pPr>
      <w:r>
        <w:rPr>
          <w:rFonts w:ascii="Times New Roman"/>
          <w:b w:val="false"/>
          <w:i w:val="false"/>
          <w:color w:val="000000"/>
          <w:sz w:val="28"/>
        </w:rPr>
        <w:t>
      22. НМИ - ды бағалаушы адаммен сондай - ақ персоналды басқару қызметінің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 - дың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5"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6" w:id="30"/>
    <w:p>
      <w:pPr>
        <w:spacing w:after="0"/>
        <w:ind w:left="0"/>
        <w:jc w:val="both"/>
      </w:pPr>
      <w:r>
        <w:rPr>
          <w:rFonts w:ascii="Times New Roman"/>
          <w:b w:val="false"/>
          <w:i w:val="false"/>
          <w:color w:val="000000"/>
          <w:sz w:val="28"/>
        </w:rPr>
        <w:t>
      25. НМИ - ға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7"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8"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рәсімделген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9" w:id="33"/>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3"/>
    <w:bookmarkStart w:name="z40"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41" w:id="35"/>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2"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3"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 бағалаушы адамға бағалау парағы жіберіледі.</w:t>
      </w:r>
    </w:p>
    <w:bookmarkEnd w:id="37"/>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Start w:name="z44"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39"/>
    <w:p>
      <w:pPr>
        <w:spacing w:after="0"/>
        <w:ind w:left="0"/>
        <w:jc w:val="left"/>
      </w:pPr>
      <w:r>
        <w:rPr>
          <w:rFonts w:ascii="Times New Roman"/>
          <w:b/>
          <w:i w:val="false"/>
          <w:color w:val="000000"/>
        </w:rPr>
        <w:t xml:space="preserve"> 4 – тарау. 360 әдісі бойынша бағалау тәртібі</w:t>
      </w:r>
    </w:p>
    <w:bookmarkEnd w:id="39"/>
    <w:bookmarkStart w:name="z46"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Start w:name="z47"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8"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3"/>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w:t>
      </w:r>
    </w:p>
    <w:bookmarkEnd w:id="43"/>
    <w:p>
      <w:pPr>
        <w:spacing w:after="0"/>
        <w:ind w:left="0"/>
        <w:jc w:val="both"/>
      </w:pPr>
      <w:r>
        <w:rPr>
          <w:rFonts w:ascii="Times New Roman"/>
          <w:b w:val="false"/>
          <w:i w:val="false"/>
          <w:color w:val="000000"/>
          <w:sz w:val="28"/>
        </w:rPr>
        <w:t xml:space="preserve">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 </w:t>
      </w:r>
    </w:p>
    <w:bookmarkStart w:name="z50" w:id="44"/>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4"/>
    <w:bookmarkStart w:name="z51"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52"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46"/>
    <w:bookmarkStart w:name="z53"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өткізіледі.</w:t>
      </w:r>
    </w:p>
    <w:bookmarkEnd w:id="47"/>
    <w:bookmarkStart w:name="z54"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5"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