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ad68" w14:textId="f41a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2 тамыздағы № 7/48-VIII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89 443 650,1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42 714 846,9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366 323,0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8 972 839,0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37 389 641,2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91 452 033,7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-358 266,8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22 803,2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381 070,0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-1 650 116,8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1 650 116,8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5 748 291,0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8 505 510,0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облысы мәслихатының "2023-2025 жылдарға арналған облыстық бюджет туралы" 2022 жылғы 14 желтоқсандағы № 11/66-VІI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2023 жылғы 28 шілдедегі № 5/34 – VIII шешіміне сәйкес әлеуметтік салық – 95,8 пайыз, төлем көзінен салық салынатын табыстардан алынатын жеке табыс салығы - 97 пайыз бойынша қала бюджетіне кірістерді бөлу нормативтері атқарылуға алынсын.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№7/48-VIII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89 443 650,1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42 714 846,9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24 923 166,6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18 328 087,6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11 293 923,4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8 972 839,0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37 389 627,8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91 452 033,7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7 262 561,2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4 239 807,0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625 802,6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42 350 563,3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22 479 040,8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18 784 280,6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16 865 018,3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3 468 400,4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11 268 818,1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2 448 057,1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5 641 540,7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591 467,3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9 200 986,6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5 086 721,4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жобаларының, концессиялық жобалардың конкурстық құжаттамаларын әзірлеу немесе түзету, сондай-ақ қажетті сараптамалар жүргізу, мемлекеттік-жекешелік әріптестік жобалары мен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-1 650 116,8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