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be19" w14:textId="a1ab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 Төрағасының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2023 жылғы 9 қарашадағы № 817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департаментінің 2023 жылғы 19 қазандағы № 1-34/691 хаты негізінде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 Төрағасының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18-қосымшада: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"8. Департаменттің заңды мекенжайы: 468320, Қазақстан Республикасы, Байқоңыр қаласы, Совет Армия көшесі, 11."</w:t>
      </w:r>
    </w:p>
    <w:bookmarkEnd w:id="0"/>
    <w:bookmarkStart w:name="z6" w:id="1"/>
    <w:p>
      <w:pPr>
        <w:spacing w:after="0"/>
        <w:ind w:left="0"/>
        <w:jc w:val="both"/>
      </w:pPr>
      <w:r>
        <w:rPr>
          <w:rFonts w:ascii="Times New Roman"/>
          <w:b w:val="false"/>
          <w:i w:val="false"/>
          <w:color w:val="000000"/>
          <w:sz w:val="28"/>
        </w:rPr>
        <w:t>
      2. Байқоңыр мемлекеттік мүлік және жекешелендіру департаментінің басшысы:</w:t>
      </w:r>
    </w:p>
    <w:bookmarkEnd w:id="1"/>
    <w:bookmarkStart w:name="z7" w:id="2"/>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2"/>
    <w:bookmarkStart w:name="z8" w:id="3"/>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