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e85b" w14:textId="c8ce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 есептеу аспаптары жоқ тұтынушылар үшін газбен жабдықтау, электрмен жабдықтау, сумен жабдықтау, су бұрумен жабдықтау жөніндегі коммуналдық көрсетілетін қызметтерді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31 шілдедегі № 1895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туралы" Ұлттық экономика министрінің 2015 жылғы 13 қаңтардағы № 15 (Нормативтік кұқықтық актілерді мемлекеттік тіркеу тізілімінде № 10313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қаласында есептеу аспаптары жоқ тұтынушылар үшін, газбен жабдықтау, электрмен жабдықтау, сумен жабдықтау, су бұрумен жабдықтау жөніндегі коммуналдық көрсетілетін қызметтерді тұтыну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энергетика және инфрақұрылымды дамыту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Шымкент қаласы әкімдігінің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1895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қаласында есептеу аспаптары жоқ тұтынушылар үшін газбен жабдықтау, электрмен жабдықтау, сумен жабдықтау және су бұру жөніндегі коммуналдық қызметтерді тұтыну нормалары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қаласында есептеу аспаптары жоқ тұтынушылар үшін газбен жабдықтау жөніндегі коммуналдық қызметтерді тұтыну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газдың тұтыну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бірлігі(м³)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плитасының және орталықтандырылған ыстық сумен жабдықтаудың қолданыста болуы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мен газды су жылытқыштың болуы (орталықтандырылған ыстық сумен жабдықтау болмаған жағдайда)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плитасының болуы және орталықтандырылған ыстық сумен жабдықтаудың, сондай-ақ газ су жылытқышының болмауы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үй-жайларды жылыту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жылыту алаңына жылыту маусымындағы айлық норма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Тауарлық және сұйытылған мұнай газын тұтыну нормалары Қазақстан Республикасы Энергетика министрінің 2018 жылғы 18 қыркүйектегі № 377 бұйрығымен бекітілген, Қазақстан Республикасының Әділет министрлігінде 2018 жылғы 2018 жылғы 3 қазанда № 17472 болып тіркелген, Тауарлық және сұйытылған мұнай газын тұтыну нормаларын есептеу мен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есептелген.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Шымкент қаласында есептеу аспаптары жоқ тұтынушылар үшін сумен жабдықтау, су бұру жөніндегі коммуналдық қызметтерді тұтыну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аспаптары жоқ тұрғындардың шаруашылық ауыз су қажеттілігі үшін суық судың және шайынды судың шығыс нормалары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қызметтерді тұтыну нормалары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 литр/тәулік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колонкалардан су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бірақ канализациясыз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 және канализациямен (ваннасыз)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канализация және газ қыздырғышы бар(ваннасыз)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құбырымен,канализация және ваннасымен, қатты отынмен су қыздырғышы бар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канализация және ваннасымен, газ қыздырғышы бар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канализация, ванна, жылдам қосылатын газ қыздырғышы бар және басқада нүктелерге су тарқатуымен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деңгейдегі көгалдандырумен, кеңейтілген тұрғын алаңымен, үштен көп тұрғын бөлемесімен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ыстық сумен, канализациясымен, ваннамен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бірақ канализациясыз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канализациямен, душсыз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душпен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душпен, асханамен және кір жуу бөлмесімен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канализациясымен және газ қыздырғышы бар душпен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маусымдағы бассейн (5 ай), жеке үйде 6 метр 3х8 рет (суды ауыстыру)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м³/5ай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Тәулікте сумен толтыру 12% = 0,72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м³/5ай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 суару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м³/5ай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жуу (жеңіл) 8 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көлік м³/ай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 8 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м³/ай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аспаптары жоқ заңды тұлғалар және басқада құрылымдар үшін суықсудың және шайынды суларының шығыс нормалары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 литр/тәулік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бірақ канализациясыз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канализациясымен, бірақ душсыз және ваннасыз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душтары және ванналары бар қонақ үйлер, пансионаттар, мотельдер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жеке нөмірлерінде душтары бар қонақ үйлер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жеке нөмірлерінде ваннасы бар қонақ үйлер: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нөмірлердің санынан 25% дейін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нөмірлердің санынан 75% дейін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нөмірлердің санынан 100% дейін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жалпы типтегі санаторийлер, демалыс үйлері: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ваннамен және душпен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Балшықпен емдеу, ортақ ваннасы және душтары бар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тұрғын бөлмелерде ваннасы бар санаторийлар және демалыс орындары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 және амбулаториялар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емделуші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Балшықпен емдейтін емханалар және амбулаториялар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кафедра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кір жуатын орындар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құрғақ киім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бөмесіндегі қол жуғыштың бір шүмегі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залы және зат қоятын орын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Дәрілерді әзірлеу зертханасы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Зертханада ыдыс жуатын орын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оқу орындары және жалпы білім беру мектептері, бірақ канализациясыз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оқушы, 1 оқытушы ауысыммен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канализациясымен оқу орындары және жалпы білім беру мектептері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оқушы, 1 оқытушы ауысыммен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мектептер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Бала-бақшалар: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канализациясыз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канализациясымен және душпен балалар күндіз болған кезде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тәулік бойы келетін бала-бақшалар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лагерлері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кәсіпорны: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 тұтынылатын тағамдарды әзірлеу және жартылау фабрикатталған заттарды, ыдыс аяқтарды жуу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тағам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үйге сатылым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тағам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канализациясыз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 және канализациясымен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 ауысыммен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үшін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Әртістер үшін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 және спортзалдар: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үшін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үшін (душ қабылдау есебімен)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спортшы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бассейндері: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Бассейнді суға толтыру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Бассейннің жалпы көлемінің 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үшін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үшін (душ қабылдау есебімен)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спортшы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Душсыз орындарда отырып, монша шылапшынмен сабындағышта жуыну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Душы бар орындарда отырып, монша шылапшынмен сабындағышта жуыну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 процедураларындағы орындақтарында отырып, шылапшын мен сабындағышта жуыну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 кабинасы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кабинасы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Еденді, сабындағыш душтарды және бу бөлмесін жинастыру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мотористтің қол жуғышы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Жеке, канализациясыз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Жеке, канализациясымен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ғимараттардағы қызмет көрсетуші персоналдар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 ауысыммен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кәсіпорындарда, мәдениет үйлерінде, клубтарда және театрдағы душтар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 сеткасы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Асханада, кафеде, шайханада, кондитерлік дүкендерде жуу орындары немесе технологиялық қондырғылардағы су тарқату нүктелері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нүкте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кәсіпорындарындағы ортақ пайдаланылатын жуыну шүмектері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нүкте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шығыны: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орталықтары, дәліздер, ойын алаңдары және басқа да спорттық ғимараттарды суару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суару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алаңындағы шөп жамылғысын суару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суару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Сырғанау алаңын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суару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Жетілдірілген жамылғыларды, тротуарларды, завод өткелдерін алаңдарын суару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суару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суару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суару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қыстық жылы–жайлардағы көшеттерді суару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Парникте жылытылатын топырақтардың барлық түрлері, қыстық, көктемдік жылы–жай стеллажындағы көшеттерді суару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бойынша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қарамал, жылқы, түйелер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Қойлар, ешкілер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 және торайлар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Ауралар, түйе тауықтар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Гуондар, үйректер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Гараждар, жеңіл автокөліктер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тасушы автокөліктер, автобустар.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автокөлік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тиесілі жеңіл автокөліктер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автокөліктер, гаражымен және автожуу орнымен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тиесілі мотоциклдер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Процедураға немесе аспапқа шығыс: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вокзалдарындағы, автовокзалдардағы, әуевокзалдарындағы, саябақтардағы, алаңдардағы қоғамдық дәретханалар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клозет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Писсуарларды жуу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писсуар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Бау-бақшадағы көкөніс алаңындағы көшеттерді суару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м²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орындарда қолданылатын бір жуыну шүмегі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шүмек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Дәріханаларда қол жуғыштың бір шүмегі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шүмек ауысыммен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Шаштараздағы қол жуғыштың бір шүмегі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шүмек ауысыммен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 емханасындағы 1 ірі жануарға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 емханасындағы 1 ұсақ жануарға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 тәулігіне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Тәжірибиелі жолмен орнатылған нормалар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шүмек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 топырағын нығыздау үшін суару: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құбырын салу кезінде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траншына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құбырын салу кезінде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траншына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құбырын салу кезінде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траншына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Жетілдірілген көпірлердің құрылысы барысында суғару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көпірлік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кезеңінде өсіру үшін сушығыны: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 алқабы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м² (1 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бақшасы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м² (1 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көшеттері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м² (1 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және қоғамдық ғимараттарды оратылқтандырылған жылыту үшін сушығыны: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жүйесіне су жіберу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100 м² тұрғын алаңы немесе жарты тұрғын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тапсыру алдындағы жылыту жүйесін толтыру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рет 100 м² тұрғын алаңы немесе жарты тұрғын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Сумен жабдықтау және су бұру жөніндегі коммуналдық көрсетілетін қызметтерді тұтыну нормалары Қазақстан Республикасы Ұлттық экономика министрінің 2015 жылғы 31 наурыздағы № 292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Республикасының Әділет министрлігінде 2015 жылы 12 мамырда № 11017 болып тіркелген, Есепке алу аспаптары жоқ тұтынушылар үшін сумен жабдықтау және су бұру жөніндегі коммуналдық көрсетілетін қызметтерді тұтыну нормаларын есептеудің үлгі қағидаларына, Қазақстан Республикасы Құрылыс және тұрғын үй-коммуналдық шаруашылық істері агенттігі Төрағасының 2011 жылғы 26 қыркүйектегі № 354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 Әділет министрлігінде 2011 жылы 17 қазанда № 7257 болып тіркелген, Сумен жабдықтау және су бұру жөнінде көрсетілген қызметтің көлемін есептеу әдістемесіне сәйкес есептелген.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Шымкент қаласында есептеу аспаптары жоқ тұтынушылар үшін электрмен жабдықтау жөніндегі коммуналдық қызметтерді тұтыну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бөлмелі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сағатына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Электр энергиясы шығындарының нормалары Қазақстан Республикасы Ұлттық экономика министрінің 2015 жылғы 13 қаңтардағы № 15 бұйрығымен бекітілген, Қазақстан Республикасының Әділет министрлігінде 2015 жылы 20 ақпанда № 10313 болып тіркелген, Есептеу аспаптары жоқ тұтынушылар үшін электрмен жабдықтау және жылумен жабдықтау бойынша коммуналдық қызметтерді тұтыну нормаларын есептеудің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