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6f03" w14:textId="10e6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желтоқсандағы № 1314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Жоғары аудиторлық палата аппаратының басшысы,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 Қазақстан Республикасының Бәсекелестікті қорғау және дамыту агенттігі аппаратының басшысы, Қазақстан Республикасының Стратегиялық жоспарлау және реформалар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Ескертпе:</w:t>
      </w:r>
    </w:p>
    <w:bookmarkEnd w:id="9"/>
    <w:bookmarkStart w:name="z20" w:id="10"/>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bookmarkEnd w:id="10"/>
    <w:bookmarkStart w:name="z21" w:id="11"/>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bookmarkEnd w:id="11"/>
    <w:bookmarkStart w:name="z22" w:id="12"/>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bookmarkEnd w:id="12"/>
    <w:bookmarkStart w:name="z23" w:id="13"/>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bookmarkEnd w:id="13"/>
    <w:bookmarkStart w:name="z24" w:id="14"/>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bookmarkEnd w:id="14"/>
    <w:bookmarkStart w:name="z25" w:id="15"/>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bookmarkEnd w:id="15"/>
    <w:bookmarkStart w:name="z26" w:id="16"/>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bookmarkEnd w:id="16"/>
    <w:bookmarkStart w:name="z27" w:id="17"/>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bookmarkEnd w:id="17"/>
    <w:bookmarkStart w:name="z28" w:id="18"/>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bookmarkEnd w:id="18"/>
    <w:bookmarkStart w:name="z29" w:id="19"/>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bookmarkEnd w:id="19"/>
    <w:bookmarkStart w:name="z30" w:id="20"/>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және Қазақстан Республикасының Төтенше жағдайлар министрлігіне қолданылмайды.</w:t>
      </w:r>
    </w:p>
    <w:bookmarkEnd w:id="20"/>
    <w:bookmarkStart w:name="z31" w:id="21"/>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