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faee" w14:textId="2caf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16 қазандағы № 1099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14-тармағы </w:t>
      </w:r>
      <w:r>
        <w:rPr>
          <w:rFonts w:ascii="Times New Roman"/>
          <w:b w:val="false"/>
          <w:i w:val="false"/>
          <w:color w:val="000000"/>
          <w:sz w:val="28"/>
        </w:rPr>
        <w:t>2) тармақшасының</w:t>
      </w:r>
      <w:r>
        <w:rPr>
          <w:rFonts w:ascii="Times New Roman"/>
          <w:b w:val="false"/>
          <w:i w:val="false"/>
          <w:color w:val="000000"/>
          <w:sz w:val="28"/>
        </w:rPr>
        <w:t xml:space="preserve"> қырық екінші абзацы мынадай редакцияда жазылсын:</w:t>
      </w:r>
    </w:p>
    <w:bookmarkStart w:name="z4" w:id="0"/>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көрсетуге;";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266)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"266) мемлекеттік қызметтер көрсету саласындағы қызметкерлердің біліктілігін арттыруды, мүгедектігі бар адамдармен қарым-қатынас жасауды қамтамасыз ету;".</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