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90f2" w14:textId="3ee90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2021 жылғы 27 тамыздағы № 89 "Хромтау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2023 жылғы 5 сәуірдегі № 10 шешімі. Күші жойылды - Ақтөбе облысы Хромтау аудандық мәслихатының 2025 жылғы 4 шілдедегі № 330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2025 жылғы 4 шілдедегі № 330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118660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аудандық мәcлихаты ШЕШТІ:</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2021 жылғы 27 тамыздағы № 89 "Хромтау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166257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"Хромтау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Болатов Э. Б.</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2023 жылғы 05 сәуірдегі № 10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2021 жылғы 27 тамыздағы № 89 шешіміне қосымша</w:t>
            </w:r>
          </w:p>
        </w:tc>
      </w:tr>
    </w:tbl>
    <w:p>
      <w:pPr>
        <w:spacing w:after="0"/>
        <w:ind w:left="0"/>
        <w:jc w:val="left"/>
      </w:pPr>
      <w:r>
        <w:rPr>
          <w:rFonts w:ascii="Times New Roman"/>
          <w:b/>
          <w:i w:val="false"/>
          <w:color w:val="000000"/>
        </w:rPr>
        <w:t xml:space="preserve"> "Хромтау аудандық мәслихатының аппараты" мемлекеттік мекемесінің "Б" корпусы мемлекеттік әкімшілік қызметшілерінің қызметін бағалаудың Әдістемесі </w:t>
      </w:r>
      <w:r>
        <w:br/>
      </w:r>
      <w:r>
        <w:rPr>
          <w:rFonts w:ascii="Times New Roman"/>
          <w:b/>
          <w:i w:val="false"/>
          <w:color w:val="000000"/>
        </w:rPr>
        <w:t>1-тарау. Жалпы ережелер</w:t>
      </w:r>
    </w:p>
    <w:p>
      <w:pPr>
        <w:spacing w:after="0"/>
        <w:ind w:left="0"/>
        <w:jc w:val="both"/>
      </w:pPr>
      <w:r>
        <w:rPr>
          <w:rFonts w:ascii="Times New Roman"/>
          <w:b w:val="false"/>
          <w:i w:val="false"/>
          <w:color w:val="000000"/>
          <w:sz w:val="28"/>
        </w:rPr>
        <w:t xml:space="preserve">
      1. Осы "Хромтау аудандық мәслихатының аппараты" мемлекеттік мекемесінің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118660 болып тіркелген) бұйрығының </w:t>
      </w:r>
      <w:r>
        <w:rPr>
          <w:rFonts w:ascii="Times New Roman"/>
          <w:b w:val="false"/>
          <w:i w:val="false"/>
          <w:color w:val="000000"/>
          <w:sz w:val="28"/>
        </w:rPr>
        <w:t>2 - қосымшасына</w:t>
      </w:r>
      <w:r>
        <w:rPr>
          <w:rFonts w:ascii="Times New Roman"/>
          <w:b w:val="false"/>
          <w:i w:val="false"/>
          <w:color w:val="000000"/>
          <w:sz w:val="28"/>
        </w:rPr>
        <w:t xml:space="preserve"> (бұдан әрі - Үлгілік әдістемесі) сәйкес әзірленген және "Хромтау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 қызметінің жұмысын жүргізу кіретін мәслихат аппаратының бас маманы (бұдан әрі – бас маман),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бас маманмен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маманмен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 стратегиялық мақсаттары, мемлекеттік орган</w:t>
      </w:r>
    </w:p>
    <w:p>
      <w:pPr>
        <w:spacing w:after="0"/>
        <w:ind w:left="0"/>
        <w:jc w:val="both"/>
      </w:pPr>
      <w:r>
        <w:rPr>
          <w:rFonts w:ascii="Times New Roman"/>
          <w:b w:val="false"/>
          <w:i w:val="false"/>
          <w:color w:val="000000"/>
          <w:sz w:val="28"/>
        </w:rPr>
        <w:t>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Бас маман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бас маманға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2 - тарау. Мәслихат аппаратының басшысын НМИ қол жеткізуі бойынша бағалау тәртібі</w:t>
      </w:r>
    </w:p>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НМИ-ды бағалаушы тұлға бөлім басшысының келісімі бойынша Үлгілік Әдістеменің 1-қосымшасына сәйкес нысан бойынша бағаланатын кезең басталғаннан кейін он жұмыс күні ішінде жасалатын мәслихаттың бас маманының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бас маман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бас маман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мәслихат аппаратының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маманмен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Бас маман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Бас маман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 Үлгілік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Үлгілік Әдістеменің 13-тармағында көзделген тәртіппен өткізіледі.</w:t>
      </w:r>
    </w:p>
    <w:p>
      <w:pPr>
        <w:spacing w:after="0"/>
        <w:ind w:left="0"/>
        <w:jc w:val="both"/>
      </w:pPr>
      <w:r>
        <w:rPr>
          <w:rFonts w:ascii="Times New Roman"/>
          <w:b w:val="false"/>
          <w:i w:val="false"/>
          <w:color w:val="000000"/>
          <w:sz w:val="28"/>
        </w:rPr>
        <w:t>
      40. Бас маман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