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97b2" w14:textId="1499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2022 жылғы 30 желтоқсандағы № 162 "2023-2025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2023 жылғы 14 қарашадағы № 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"2023-2025 жылдарға арналған Мәртөк ауданының ауылдық округтерінің бюджеттерін бекіту туралы" 2022 жылғы 30 желтоқсандағы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46 811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4 808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42 003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47 678,6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Аққұдық ауылдық округінің бюджетінде аудандық бюджеттен берілетін трансферттер көлемі 7 730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40 753,6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1 631,6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38 865,6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40 984,1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Байнассай ауылдық округінің бюджетінде аудандық бюджеттен берілетін трансферттер көлемі 10 422,6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35 768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33 117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36 413,3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62 301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стаудан түсетін түсмдер – 2 200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55 541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шығындар – 65 153,6 мың теңге;";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93 797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92 135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94 120,5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50 017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44 514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50 582,3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50 741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14 552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36 189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51 383,6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49 556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46 894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50 466,4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665 908,1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45 475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1 462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12 779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606 192,1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670 453,8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2023 жылға арналған Мәртөк ауылдық округінің бюджетінде аудандық бюджеттен берілетін трансферттер көлемі 269 444,1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77 662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4 220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73 442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78 156,2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2023 жылға арналған Родников ауылдық округінің бюджетінде аудандық бюджеттен берілетін трансферттер көлемі 36 633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 156 954,4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12 981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143 973,4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165 741,4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2023 жылға арналған Сарыжар ауылдық округінің бюджетінде аудандық бюджеттен берілетін трансферттер көлемі 87 993,4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 48 975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5 895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41 380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50 194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 37 315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6 023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31 292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38 407,3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2023 жылға арналған Хазірет ауылдық округінің бюджетінде аудандық бюджеттен берілетін трансферттер көлемі 5 835 мың теңге сомасында ескерілсін.".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қарашадағы № 55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қарашадағы № 55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қарашадағы № 55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қарашадағы № 55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қарашадағы № 55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қарашадағы № 55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қарашадағы № 55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мекенедрді сумен жабдқтауды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қарашадағы № 55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қарашадағы № 55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қарашадағы № 55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қарашадағы № 55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қарашадағы № 55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14 қарашадағы № 55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30 желтоқсандағы № 162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