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62d" w14:textId="565d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30 желтоқсандағы № 162 "2023-2025 жылдарға арналған Мәртөк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16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"2023-2025 жылдарға арналған Мәртөк ауданының ауылдық округтерінің бюджеттерін бекіту туралы" 2022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42 817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43 684,6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-867,6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867,6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Аққұдық ауылдық округінің бюджетінде аудандық бюджеттен берілетін трансферттер көлемі 3 736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34 853,6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34 015,6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35 084,1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-230,5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Байнассай ауылдық округінің бюджетінде аудандық бюджеттен берілетін трансферттер көлемі 5 572,6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35 997,3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-645,3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81 515,6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-2 852,6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2 852,6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90 249,5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-323,5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323,5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45 502,3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-565,3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565,3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 жылға арналған Қарашай ауылдық округінің бюджетінде аудандық бюджеттен берілетін трансферттер көлемі 5 626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33 243,6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-642,6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642,6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46 002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49 574,4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-910,4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910,4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910,4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21-1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2023 жылға арналған Қызылжар ауылдық округінің бюджетінде аудандық бюджеттен берілетін трансферттер көлемі 13 000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661 470,1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601 754,1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666 015,8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-4 545,7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4 545,7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Мәртөк ауылдық округінің бюджетінде аудандық бюджеттен берілетін трансферттер көлемі 266 006,1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56 273,2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-494,2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494,2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494,2 мың теңге.";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2023 жылға арналған Родников ауылдық округінің бюджетінде аудандық бюджеттен берілетін трансферттер көлемі 15 500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142 807,4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133 451,4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151 594,4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-8 787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2023 жылға арналған Сарыжар ауылдық округінің бюджетінде аудандық бюджеттен берілетін трансферттер көлемі 77 471,4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45 641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-1 219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35 837,3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-1092,3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1 092,3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1 092,3 мың теңге.";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33-1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2023 жылға арналған Хазірет ауылдық округінің бюджетінде аудандық бюджеттен берілетін трансферттер көлемі 5 385 мың теңге сомасында ескерілсін.".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16 мамырдағы № 22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