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29ff" w14:textId="59a2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2018 жылғы 1 маусымдағы № 149 "Ырғыз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Ырғыз аудандық мәслихатының 2023 жылғы 11 мамырдағы № 15 шешімі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Ырғыз аудандық мәслихатының 2018 жылғы 1 маусымдағы № 149 "Ырғыз ауданының жергілікті қоғамдастық жиналысының Регламентін бекіту туралы" (нормативтік құқықтық актілердің мемлекеттік тіркеу тізілімінде № 3-5-180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0"/>
    <w:p>
      <w:pPr>
        <w:spacing w:after="0"/>
        <w:ind w:left="0"/>
        <w:jc w:val="both"/>
      </w:pPr>
      <w:r>
        <w:rPr>
          <w:rFonts w:ascii="Times New Roman"/>
          <w:b w:val="false"/>
          <w:i w:val="false"/>
          <w:color w:val="000000"/>
          <w:sz w:val="28"/>
        </w:rPr>
        <w:t xml:space="preserve">
      көрсетілген шешіммен бекітілген Ырғыз ауданының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4"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