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57f6" w14:textId="fc35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2023 жылғы 21 сәуірдегі № 16 "Алға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27 шілдедегі № 62 шешімі. Күші жойылды - Ақтөбе облысы Алға аудандық мәслихатының 2025 жылғы 5 маусымдағы № 286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05.06.2025 № 286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"Алға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2023 жылғы 21 сәуірдегі № 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көрсетілген шешіммен бекітілген "Алға аудандық мәслихатының аппараты" мемлекеттік мекемесінің "Б" корпусы мемелекеттік әкімшілік қызметшілерінің қызметін бағалаудың </w:t>
      </w:r>
      <w:r>
        <w:rPr>
          <w:rFonts w:ascii="Times New Roman"/>
          <w:b w:val="false"/>
          <w:i w:val="false"/>
          <w:color w:val="000000"/>
          <w:sz w:val="28"/>
        </w:rPr>
        <w:t>Әдістемесін</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бағалаудың осы Әдістемесінің 2 тармағының 12) тармақшасы, 5 тармағының екінші абзацы және 6 тарауы, 2023 жылдың 31 тамызына дейін әрекет ететіні белгіленсін.</w:t>
      </w:r>
    </w:p>
    <w:bookmarkEnd w:id="1"/>
    <w:bookmarkStart w:name="z4"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2023 жылғы 27 шілдедегі № 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2023 жылғы 21 сәуірдегі № 16 шешімімен бекітілген</w:t>
            </w:r>
          </w:p>
        </w:tc>
      </w:tr>
    </w:tbl>
    <w:p>
      <w:pPr>
        <w:spacing w:after="0"/>
        <w:ind w:left="0"/>
        <w:jc w:val="left"/>
      </w:pPr>
      <w:r>
        <w:rPr>
          <w:rFonts w:ascii="Times New Roman"/>
          <w:b/>
          <w:i w:val="false"/>
          <w:color w:val="000000"/>
        </w:rPr>
        <w:t xml:space="preserve"> "Алға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"Алға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"Алға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