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606b" w14:textId="d0b6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2022 жылғы 26 желтоқсандағы № 7С-35/2 "2023-2025 жылдарға арналған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2023 жылғы 27 қарашадағы № 8С-11/2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"2023-2025 жылдарға арналған кенттердің, ауылдық округтердің бюджеттері туралы" 2022 жылғы 26 желтоқсандағы № 7С-35/2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602 301,2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44 380,5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1 005,2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2 166,3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554 749,2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602 535,2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186 712,8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47 425,9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139 244,8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192 367,4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(-5 654,6)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5 654,6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142 165,4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1 750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121 017,4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147 712,6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175 752,8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7 118,2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168 359,5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175 752,8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95 272,8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21 909,4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15 911,9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57 451,5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96 255,2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99 793,8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85 038,8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101 734,8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62 181,5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52 390,5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63 681,5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33 890,1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24 384,1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36 125,1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74 579,7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70 404,7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75 582,1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115 237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3 485,9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108 451,1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118 444,5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46 724,8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3 733,6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42 991,2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48 844,8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(-2 120)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2 120 мың теңге.";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Шортанды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Жолымбет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Дамса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Новокубанка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Бозайғыр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Бектау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Петровка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Андреевка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Раевка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Пригородный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Новоселовка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800135,2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Жолымбет кентінің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Петровка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Новокубанка ауылының көшелерін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Новокубанка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Шортанды кентінің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Раевка ауылында балалар ойын алаңының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Бозайғыр ауылында балалар ойын алаңының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Пригородный ауылында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Бектау ауылында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жазғы су құбырын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 әзірлеуге және автомобиль жолдарын жөндеуге,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Раевка ауылының кентішілік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Дамса ауылдық округі Дамса ауылының (Велижанцев көшесі, Бахыт шағын ауданы)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Пригородный ауылынан Баскөл ауылына дейінгі грейдерді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Шортанды ауданы Шортанды кентінің көше-жол желісін орташа жөндеуге (Северная көшесі)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Шортанды кентінің көше-жол желісін орташа жөндеуге (Молодежная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Шортанды ауданы Шортанды кентінің көше-жол желісін орташа жөндеуге (Смирнов, Октябрьская көшелері)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жергілікті бюджет қаражаты есебінен нысаналы трансферттер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481329,6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Бектау ауылдық округінің автомобиль жолдарын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Бектау ауылдық округінің мұқтаж азаматтарына үйде әлеуметтік көмек көрсетуге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Дамса ауылдық округінің мұқтаж азаматтарына үйде әлеуметтік көмек көрсетуге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