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fc5a" w14:textId="791f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2022 жылғы 26 желтоқсандағы № 7С-35/2 "2023-2025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15 қыркүйектегі № 8С-8/2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"2023-2025 жылдарға арналған кенттердің, ауылдық округтердің бюджеттері туралы" 2022 жылғы 26 желтоқсандағы № 7С-35/2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607 967,3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560 415,3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608 201,3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194 946,8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139 244,8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197 211,4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(-2 264,6)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139 415,4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119 517,4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144 962,6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(-5 547,2)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175 252,8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168 359,5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175 252,8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88 717,7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54 451,5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89 700,1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95 072,8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82 241,8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97 013,8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64 335,1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65 835,1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73 249,7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70 404,7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(-1 002,4)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130 543,6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125 487,7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133 751,1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(-3 207,5)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3 207,5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45 464,2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(-1 920)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1 920 мың теңге.";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Пригородный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Новоселовка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Жолымбет кентінің көше-жол желілерін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Петровка ауылының көше-жол желілерін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Новокубанка ауылының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Новокубанка ауылының көше-жол желілерін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Раевка ауылында балалар ойын алаңының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ауылында балалар ойын алаңының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Пригородный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Бектау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жазғы су құбырын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Раевка ауылының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ауылдық округі Дамса ауылының (Велижанцев көшесі, Бахыт шағын ауданы)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Пригородный ауылынан Баскөл ауылына дейінгі грейдерді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Шортанды кентінің көше-жол желісін орташа жөндеуге (Северная көшесі)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кентінің көше-жол желісін орташа жөндеуге (Молодежная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Шортанды кентінің көше-жол желісін орташа жөндеуге (Смирнов, Октябрьская көшелері)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 қаражаты есебінен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