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527" w14:textId="bc1f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2023 жылғы 6 сәуірдегі № 8С-2/8 шешімі. Күші жойылды - Ақмола облысы Шортанды аудандық мәслихатының 2025 жылғы 13 маусымдағы № 8С-38/2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13.06.2025 </w:t>
      </w:r>
      <w:r>
        <w:rPr>
          <w:rFonts w:ascii="Times New Roman"/>
          <w:b w:val="false"/>
          <w:i w:val="false"/>
          <w:color w:val="ff0000"/>
          <w:sz w:val="28"/>
        </w:rPr>
        <w:t>№ 8С-38/2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1. Қоса берілген "Шортанды ауданы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8С-2/8 шешіміне</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"Шортанды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"Шортанды ауданы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Шортанды аудандық мәслихатының 15.06.2023 </w:t>
      </w:r>
      <w:r>
        <w:rPr>
          <w:rFonts w:ascii="Times New Roman"/>
          <w:b w:val="false"/>
          <w:i w:val="false"/>
          <w:color w:val="ff0000"/>
          <w:sz w:val="28"/>
        </w:rPr>
        <w:t>№ 8С-6/4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Шортанды аудандық мәслихатының 15.06.2023 </w:t>
      </w:r>
      <w:r>
        <w:rPr>
          <w:rFonts w:ascii="Times New Roman"/>
          <w:b w:val="false"/>
          <w:i w:val="false"/>
          <w:color w:val="ff0000"/>
          <w:sz w:val="28"/>
        </w:rPr>
        <w:t>№ 8С-6/4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15.06.2023 </w:t>
      </w:r>
      <w:r>
        <w:rPr>
          <w:rFonts w:ascii="Times New Roman"/>
          <w:b w:val="false"/>
          <w:i w:val="false"/>
          <w:color w:val="ff0000"/>
          <w:sz w:val="28"/>
        </w:rPr>
        <w:t>№ 8С-6/4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15.06.2023 </w:t>
      </w:r>
      <w:r>
        <w:rPr>
          <w:rFonts w:ascii="Times New Roman"/>
          <w:b w:val="false"/>
          <w:i w:val="false"/>
          <w:color w:val="ff0000"/>
          <w:sz w:val="28"/>
        </w:rPr>
        <w:t>№ 8С-6/4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Шортанды аудандық мәслихатының 15.06.2023 </w:t>
      </w:r>
      <w:r>
        <w:rPr>
          <w:rFonts w:ascii="Times New Roman"/>
          <w:b w:val="false"/>
          <w:i w:val="false"/>
          <w:color w:val="ff0000"/>
          <w:sz w:val="28"/>
        </w:rPr>
        <w:t>№ 8С-6/4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7" w:id="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 w:id="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9" w:id="7"/>
    <w:p>
      <w:pPr>
        <w:spacing w:after="0"/>
        <w:ind w:left="0"/>
        <w:jc w:val="left"/>
      </w:pPr>
      <w:r>
        <w:rPr>
          <w:rFonts w:ascii="Times New Roman"/>
          <w:b/>
          <w:i w:val="false"/>
          <w:color w:val="000000"/>
        </w:rPr>
        <w:t xml:space="preserve"> 4-тарау. 360 әдісі бойынша бағалау тәртібі</w:t>
      </w:r>
    </w:p>
    <w:bookmarkEnd w:id="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0" w:id="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1" w:id="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9"/>
    <w:p>
      <w:pPr>
        <w:spacing w:after="0"/>
        <w:ind w:left="0"/>
        <w:jc w:val="both"/>
      </w:pPr>
      <w:r>
        <w:rPr>
          <w:rFonts w:ascii="Times New Roman"/>
          <w:b w:val="false"/>
          <w:i w:val="false"/>
          <w:color w:val="ff0000"/>
          <w:sz w:val="28"/>
        </w:rPr>
        <w:t xml:space="preserve">
      Ескерту. Әдістеме 6-тараумен толықтырылды - Ақмола облысы Шортанды аудандық мәслихатының 15.06.2023 </w:t>
      </w:r>
      <w:r>
        <w:rPr>
          <w:rFonts w:ascii="Times New Roman"/>
          <w:b w:val="false"/>
          <w:i w:val="false"/>
          <w:color w:val="ff0000"/>
          <w:sz w:val="28"/>
        </w:rPr>
        <w:t>№ 8С-6/4</w:t>
      </w:r>
      <w:r>
        <w:rPr>
          <w:rFonts w:ascii="Times New Roman"/>
          <w:b w:val="false"/>
          <w:i w:val="false"/>
          <w:color w:val="ff0000"/>
          <w:sz w:val="28"/>
        </w:rPr>
        <w:t>5- тармақ</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өкімі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