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86d" w14:textId="687a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27/2 "2023-2025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29 қарашадағы № 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Сандықтау ауданының ауылдық округтерінің және Мәдениет ауылының бюджеттері туралы" 2022 жылғы 27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Балкашин ауылдық округінің бюджеті тиісінше 1, 1-1 және 1-2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522 373,9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463 387,9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2023–2025 жылдарға арналған Барақпай ауылдық округінің бюджеті тиісінше 2, 2-1 және 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2023–2025 жылдарға арналған Белгород ауылдық округінің бюджеті тиісінше 3, 3-1 және 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2023–2025 жылдарға арналған Бірлік ауылдық округінің бюджеті тиісінше 4, 4-1 және 4-2-қосымшаларға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2023–2025 жылдарға арналған Васильев ауылдық округінің бюджеті тиісінше 5, 5-1 және 5-2-қосымшаларға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2023–2025 жылдарға арналған Веселов ауылдық округінің бюджеті тиісінше 6, 6-1 және 6-2-қосымшаларға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2023–2025 жылдарға арналған Жамбыл ауылдық округінің бюджеті тиісінше 7, 7-1 және 7-2-қосымшаларға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2023–2025 жылдарға арналған Каменск ауылдық округінің бюджеті тиісінше 8, 8-1 және 8-2-қосымшаларға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38 251,6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2023–2025 жылдарға арналған Лесной ауылдық округінің бюджеті тиісінше 9, 9-1 және 9-2-қосымшаларға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2023–2025 жылдарға арналған Мәдениет ауылының бюджеті тиісінше 10, 10-1 және 10-2-қосымшаларға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2023–2025 жылдарға арналған Максимов ауылдық округінің бюджеті тиісінше 11, 11-1 және 11-2-қосымшаларға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2023–2024 жылдарға арналған Новоникольск ауылдық округінің бюджеті тиісінше 12, 12-1 және 12-2-қосымшаларға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2023–2025 жылдарға арналған Сандықтау ауылдық округінің бюджеті тиісінше 13, 13-1 және 13-2-қосымшаларға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2023–2025 жылдарға арналған Широков ауылдық округінің бюджеті тиісінше 14, 14-1 және 14-2-қосымшаларға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239,8 мың теңге.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Широков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көшеөжол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