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1829" w14:textId="3b61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27/2 "2023-2025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18 сәуірдегі № 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Сандықтау ауданының ауылдық округтерінің және Мәдениет ауылының бюджеттері туралы" 2022 жылғы 27 желтоқсандағы № 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Балкашин ауылдық округінің бюджеті тиісінше 1, 1-1 және 1-2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370 170,3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321 707,3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2023–2025 жылдарға арналған Барақпай ауылдық округінің бюджеті тиісінше 2, 2-1 және 2-2-қосымшаларға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2023–2025 жылдарға арналған Белгород ауылдық округінің бюджеті тиісінше 3, 3-1 және 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2023–2025 жылдарға арналған Бірлік ауылдық округінің бюджеті тиісінше 4, 4-1 және 4-2-қосымшаларға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2023–2025 жылдарға арналған Васильев ауылдық округінің бюджеті тиісінше 5, 5-1 және 5-2-қосымшаларға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2023–2025 жылдарға арналған Веселов ауылдық округінің бюджеті тиісінше 6, 6-1 және 6-2-қосымшаларға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2023–2025 жылдарға арналған Жамбыл ауылдық округінің бюджеті тиісінше 7, 7-1 және 7-2-қосымшаларға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68 349,7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–68 514,2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2023–2025 жылдарға арналған Каменск ауылдық округінің бюджеті тиісінше 8, 8-1 және 8-2-қосымшаларға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2023–2025 жылдарға арналған Лесной ауылдық округінің бюджеті тиісінше 9, 9-1 және 9-2-қосымшаларға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2023–2025 жылдарға арналған Мәдениет ауылының бюджеті тиісінше 10, 10-1 және 10-2-қосымшаларға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2023–2025 жылдарға арналған Максимов ауылдық округінің бюджеті тиісінше 11, 11-1 және 11-2-қосымшаларға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2023–2024 жылдарға арналған Новоникольск ауылдық округінің бюджеті тиісінше 12, 12-1 және 12-2-қосымшаларға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2023–2025 жылдарға арналған Сандықтау ауылдық округінің бюджеті тиісінше 13, 13-1 және 13-2-қосымшаларға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2023–2025 жылдарға арналған Широков ауылдық округінің бюджеті тиісінше 14, 14-1 және 14-2-қосымшаларға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239,8 мың теңге.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Васильев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Максимов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Новоникольск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Широков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