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f44f" w14:textId="43df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2022 жылғы 23 желтоқсандағы № 35/2 "2023-2025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29 қарашадағы № 8С-11/3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"2023-2025 жылдарға арналған Есіл қаласының, Красногорский кентінің, ауылдардың және ауылдық округтердің бюджеттері туралы" 2022 жылғы 23 желтоқсандағы № 35/2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Есіл қаласының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330612,7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226213,7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332740,1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(- 2127,4)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Ақсай ауылының бюджеті тиісінше 4, 5 және 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(- 392)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Бұзылық ауылдық округінің бюджеті тиісінше 7, 8 және 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136677,1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130516,3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137388,7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(- 711,6)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Жаныспай ауылдық округінің бюджеті тиісінше 13, 14 және 15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27734,8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21225,8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Заречный ауылдық округінің бюджеті тиісінше 16, 17 және 18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92845,6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81644,6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94398,6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(- 1553)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Знаменка ауылының бюджеті тиісінше 19, 20 және 21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34290,5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27297,5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(- 360,9)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Қаракөл ауылдық округінің бюджеті тиісінше 25, 26 және 27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26714,1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19810,1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(- 36,4)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Красивинский ауылдық округінің бюджеті тиісінше 28, 29 және 30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153004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(- 106)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Красногорск кентінің бюджеті тиісінше 31, 32 және 33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27455,5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21268,5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(- 1238,2)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Московский ауылының бюджеті тиісінше 34, 35 және 36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(- 75,1)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Орловка ауылының бюджеті тиісінше 37, 38 және 39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22469,3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18569,4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(- 216)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Свободный ауылдық округінің бюджеті тиісінше 40, 41 және 42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(- 266)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2023-2025 жылдарға арналған Юбилейный ауылдық округінің бюджеті тиісінше 43, 44 және 45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23604,6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(- 369,4)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369,4 мың теңге.";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қараша 2023 жылғы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Бұзылық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Двуречный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Жаныспай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Знаменка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Қаракөл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}№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Красивинский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Красногорский кентінің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Московский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Орловка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Свободный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Юбилейный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