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8221" w14:textId="7848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2022 жылғы 23 желтоқсандағы № 35/2 "2023-2025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26 қазандағы № 8С-10/3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"2023-2025 жылдарға арналған Есіл қаласының, Красногорский кентінің, ауылдардың және ауылдық округтердің бюджеттері туралы" 2022 жылғы 23 желтоқсандағы № 35/2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Есіл қаласының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332475,7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228076,7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334603,1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(- 2127,4)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Ақсай ауылының бюджеті тиісінше 4, 5 және 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(- 392)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Бұзылық ауылдық округінің бюджеті тиісінше 7, 8 және 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170831,8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164837,8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171543,4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(- 711,6)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Двуречный ауылдық округінің бюджеті тиісінше 10, 11 және 12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74705,8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62440,8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75187,6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(- 481,8)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Жаныспай ауылдық округінің бюджеті тиісінше 13, 14 және 15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29137,8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21225,8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Заречный ауылдық округінің бюджеті тиісінше 16, 17 және 18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114902,8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103701,8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116455,8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(- 1553)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Знаменка ауылының бюджеті тиісінше 19, 20 және 21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34290,5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27297,5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(- 360,9)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Интернациональный ауылдық округінің бюджеті тиісінше 22, 23 және 24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(- 494)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Қаракөл ауылдық округінің бюджеті тиісінше 25, 26 және 27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26767,6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19863,6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(- 36,4)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Красивинский ауылдық округінің бюджеті тиісінше 28, 29 және 30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153501,2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141938,2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153607,2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(- 106)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Красногорский кентінің бюджеті тиісінше 31, 32 және 33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27848,2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21661,2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(- 1238,2)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Орловка ауылының бюджеті тиісінше 37, 38 және 39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18569,4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(- 216)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Свободный ауылдық округінің бюджеті тиісінше 40, 41 және 42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(- 266)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2023-2025 жылдарға арналған Юбилейный ауылдық округінің бюджеті тиісінше 43, 44 және 45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24623,6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(- 369,4)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369,4 мың теңге.";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Бұзылық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Двуречный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Жаныспай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Знаменка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Интернациональный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Красивинский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Красногорский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Московский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Орловка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Свободный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Юбилейный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