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42ce" w14:textId="82c4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Ұзынкөл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8С-15-13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Ұзынкөл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18846,0 мың теңге, оның ішінде: </w:t>
      </w:r>
    </w:p>
    <w:p>
      <w:pPr>
        <w:spacing w:after="0"/>
        <w:ind w:left="0"/>
        <w:jc w:val="both"/>
      </w:pPr>
      <w:r>
        <w:rPr>
          <w:rFonts w:ascii="Times New Roman"/>
          <w:b w:val="false"/>
          <w:i w:val="false"/>
          <w:color w:val="000000"/>
          <w:sz w:val="28"/>
        </w:rPr>
        <w:t>
      салықтық түсімдер – 8361,0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трансферттердің түсімдері – 10485,0 мың теңге;</w:t>
      </w:r>
    </w:p>
    <w:p>
      <w:pPr>
        <w:spacing w:after="0"/>
        <w:ind w:left="0"/>
        <w:jc w:val="both"/>
      </w:pPr>
      <w:r>
        <w:rPr>
          <w:rFonts w:ascii="Times New Roman"/>
          <w:b w:val="false"/>
          <w:i w:val="false"/>
          <w:color w:val="000000"/>
          <w:sz w:val="28"/>
        </w:rPr>
        <w:t>
      2) шығындар – 20705,4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-1859,4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1859,4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30.09.2025 </w:t>
      </w:r>
      <w:r>
        <w:rPr>
          <w:rFonts w:ascii="Times New Roman"/>
          <w:b w:val="false"/>
          <w:i w:val="false"/>
          <w:color w:val="000000"/>
          <w:sz w:val="28"/>
        </w:rPr>
        <w:t>№ 8С-42-14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Ұзынкөл ауылдық округінің бюджеті көлемінде аудандық бюджеттен ауылдық округтің бюджетіне берілетін бюджеттік субвенциялар 13932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Ұзынкөл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11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Ұзынкөл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8С-15-13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Ұзынкөл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30.09.2025 </w:t>
      </w:r>
      <w:r>
        <w:rPr>
          <w:rFonts w:ascii="Times New Roman"/>
          <w:b w:val="false"/>
          <w:i w:val="false"/>
          <w:color w:val="ff0000"/>
          <w:sz w:val="28"/>
        </w:rPr>
        <w:t>№ 8С-42-14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8С-15-13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Ұзынкөл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8С-15-13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Ұзынкөл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8С-15-13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Ұзынкөл ауылдық округінің бюджетің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