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89c6" w14:textId="fc78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Краснояр ауылдық округі әкімі аппаратының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2023 жылғы 24 қарашадағы № С-8/6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маусыдағы № 126 қаулысының (Нормативтік құқықтық актілерді мемлекеттік тіркеу тізілімінде № 183404 тіркелген)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85702 тіркелген)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2024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басшылық лауазымдарды атқаратын адамдарды қоспағанда, Краснояр ауылдық округі әкімі аппаратының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екі мың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