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eeb" w14:textId="5da1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18 наурыздағы № 33-4 "Батыс Қазақстан облысының қалалар мен елді мекендерінің аумақтарын абаттандыру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12 қазандағы № 14-3 шешімі. Күші жойылды - Батыс Қазақстан облыстық мәслихатының 2024 жылғы 28 маусымдағы № 13-2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"Батыс Қазақстан облысының қалалар мен елді мекендерінің аумақтарын абаттандыру қағидаларын бекіту туралы" 2020 жылғы 18 наурыздағы № 33-4 (Нормативтік құқықтық актілерді мемлекеттік тіркеу тізілімінде №6087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Батыс Қазақстан облысының қалалары мен елді мекендерінің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Батыс Қазақстан облысының қалалары мен елді мекендерінің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Азаматтық кодексіне (Ерекше бөлім),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сәулет, қала құрылысы және құрылыс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және "Ағаштарды кесуге рұқсат беру" мемлекеттік қызмет көрсету қағидаларын бекіту туралы" (Нормативтік құқықтық актілерді мемлекеттік тіркеу тізілімінде № 10886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нормативтік құқықтық актілерге сәйкес әзірленді";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Құрылыстарды және (немесе)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қоқыс шығаруды жүзеге асыратын ұйыммен шарт бойынша шығаруы тиіс";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Үй иелерінің аумағында Қазақстан Республикасы Денсаулық сақтау министрінің 2022 жылғы 26 шiлдедегi № ҚР ДСМ-67 "Коммуналдық мақсаттағы объектілерге қойылатын санитариялық-эпидемиологиялық талаптар" санитариялық қағидаларын бекіту туралы бұйрығымен бекітілген санитариялық қағидалары (Қазақстан Республикасының Әділет министрлігінде 2022 жылғы 27 шiлдеде № 28925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министрінің міндетін атқарушының 2020 жылғы 25 желтоқсандағы № ҚР ДСМ-331/2020 "Өндіріс және тұтыну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туралы" бұйрығымен бекітілген санитариялық қағидалары (Нормативтік құқықтық актілерді мемлекеттік тіркеу тізілімінде № 21934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мамандандырылған көлік үшін ыңғайлы кірме жолдармен контейнерлерді орналастыруға арналған арнайы алаңдар болады.".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