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8612" w14:textId="8ee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2022 жылғы 5 желтоқсандағы № 386 қаулысы. Күші жойылды - Түркістан облысы Сауран ауданы әкiмдiгiнiң 2023 жылғы 29 тамыздағы № 243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Сауран ауданы әкiмдiгiнiң 29.08.2023 № 243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Сауран ауданы әкімінің орынбасары Е.Жанғазиевке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орындарын квоталау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 жұмыскерлердің орташа тізімдік санынан %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жалпы жұмыс орындары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атқарып жатқан мүгедектігі бар адамдар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бекітілген квота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"№13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"Молда Мұса атындағы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"Ы.Алтынсарин атындағы шағын жинақталған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"Ескі Иқан"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адами әлеуетті дамыту басқармасының Сауран ауданының адами әлеуетті дамыту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"Х.А.Яссауи атындағы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"А.Үсенов атындағы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"Амангелді"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"Қос-Қорған"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"М.Әуезов атындағы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"Шобанақ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"Шорнақ"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"Қызыл-Әскер"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"Тұран"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"А.Югнаки атындағы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"Шыпан"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"Майдантал" жалпы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"DIVALUX"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