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ce22" w14:textId="38fc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28 желтоқсандағы № 84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2022 жылғы 26 қазандағы № 153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 " Сауран аудандық мәслихатының 2021 жылғы 28 желтоқсандағы № 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Бабайқорған ауылдық округінің 2022-2024 жылдарға арналған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Ескі Иқан ауылдық округінің 2022-2024 жылдарға арналған бюджеті тиісінше 4, 5 және 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139 703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116 041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Жаңа Иқан ауылдық округінің 2022-2024 жылдарға арналған бюджеті тиісінше 7, 8 және 9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123 370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25 986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Жібек Жолы ауылдық округінің 2022-2024 жылдарға арналған бюджеті тиісінше 10, 11 және 12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Жүйнек ауылдық округінің 2022-2024 жылдарға арналған бюджеті тиісінше 13, 14 және 15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109 404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2 463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Иассы ауылдық округінің 2022-2024 жылдарға арналған бюджеті тиісінше 16, 17 және 18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Қарашық ауылдық округінің 2022-2024 жылдарға арналған бюджеті тиісінше 19, 20 және 21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Майдантал ауылдық округінің 2022-2024 жылдарға арналған бюджеті тиісінше 22, 23 және 24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85 605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Оранғай ауылдық округінің 2022-2024 жылдарға арналған бюджеті тиісінше 25, 26 және 27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Үшқайық ауылдық округінің 2022-2024 жылдарға арналған бюджеті тиісінше 28, 29 және 30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Шаға ауылдық округінің 2022-2024 жылдарға арналған бюджеті тиісінше 31, 32 және 33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- 17 454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17 454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17 454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2022-2024 жылдарға арналған бюджеті тиісінше 34, 35 және 36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92 999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1 294 мың теңге".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Сауран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Бабайқорған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Ескі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Иқан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Жүйнек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Иассы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Майдантал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Оранғай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Үшқайық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Шаға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Шорнақ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