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e88f" w14:textId="e9be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28 желтоқсандағы № 84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24 маусымдағы № 128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ауылдық округтердің бюджеттері туралы " Сауран аудандық мәслихатының 2021 жылғы 28 желтоқсандағы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Бабайқорған ауылдық округінің 2022-2024 жылдарға арналған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Ескі Иқан ауылдық округінің 2022-2024 жылдарға арналған бюджеті тиісінше 4, 5 және 6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105 600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Жаңа Иқан ауылдық округінің 2022-2024 жылдарға арналған бюджеті тиісінше 7, 8 және 9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123 367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25 986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Жібек Жолы ауылдық округінің 2022-2024 жылдарға арналған бюджеті тиісінше 10, 11 және 12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Жүйнек ауылдық округінің 2022-2024 жылдарға арналған бюджеті тиісінше 13, 14 және 15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108 666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2 463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Иассы ауылдық округінің 2022-2024 жылдарға арналған бюджеті тиісінше 16, 17 және 18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63 688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Қарашық ауылдық округінің 2022-2024 жылдарға арналған бюджеті тиісінше 19, 20 және 21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98 319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Майдантал ауылдық округінің 2022-2024 жылдарға арналған бюджеті тиісінше 22, 23 және 24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Оранғай ауылдық округінің 2022-2024 жылдарға арналған бюджеті тиісінше 25, 26 және 27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Үшқайық ауылдық округінің 2022-2024 жылдарға арналған бюджеті тиісінше 28, 29 және 30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Шаға ауылдық округінің 2022-2024 жылдарға арналған бюджеті тиісінше 31, 32 және 33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- 17 454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17 454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17 454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Шорнақ ауылдық округінің 2022-2024 жылдарға арналған бюджеті тиісінше 34, 35 және 36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1 294 мың теңге".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Бабайқорған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Ескі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Жібек Жолы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Жүйнек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Иассы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Майдантал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Оранғай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Үшқайық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Шорнақ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