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7390" w14:textId="d157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2021 жылғы 27 желтоқсандағы № 17-102-VII "2022-2024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5 қазандағы № 25-162-VII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"2022-2024 жылдарға арналған қала, кент және ауылдық округтердің бюджеті туралы" 2021 жылғы 27 желтоқсандағы № 17-102-VII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Жетісай қаласының 2022-2024 жылдарға арналған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200 680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169 546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11 705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19 031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Жаңа ауыл ауылдық округінің 2022-2024 жылдарға арналған бюджеті 4, 5 және 6-қосымшаларға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58 843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37 022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2 557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Жылы су ауылдық округінің 2022-2024 жылдарға арналған бюджеті 7, 8 және 9-қосымшаларға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61 074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Қазыбек би ауылдық округінің 2022-2024 жылдарға арналған бюджеті 10, 11 және 12-қосымшаларға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33 348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2 438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Қарақай ауылдық округінің 2022-2024 жылдарға арналған бюджеті 13, 14 және 15-қосымшаларға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45 701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Асықата кентінің 2022-2024 жылдарға арналған бюджеті 16, 17 және 18-қосымшаларға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78 938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Абай ауылдық округінің 2022-2024 жылдарға арналған бюджеті 19, 20 және 21-қосымшаларға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3 925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Атамекен ауылдық округінің 2022-2024 жылдарға арналған бюджеті 22, 23 және 24-қосымшаларға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50 093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Ш.Ділдабеков ауылдық округінің 2022-2024 жылдарға арналған бюджеті 25, 26 және 27-қосымшаларға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45 778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2 352мың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Ж.Ералиев ауылдық округінің 2022-2024 жылдарға арналған бюджеті 28, 29 және 30-қосымшаларға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60 291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47 047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2 340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Қызылқұм ауылдық округінің 2022-2024 жылдарға арналған бюджеті 31, 32 және 33-қосымшаларға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66 906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9 146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Мақталы ауылдық округінің 2022-2024 жылдарға арналған бюджеті 34, 35 және 36-қосымшаларға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Ынтымақ ауылдық округінің 2022-2024 жылдарға арналған бюджеті 37, 38 және 39-қосымшаларға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61 374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3 538 мың теңге;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А.Утанов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25-162-VII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