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5010" w14:textId="9c550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2021 жылғы 30 желтоқсандағы № 14-83-VІІ "2022-2024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2022 жылғы 28 қарашадағы № 23-146-VII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"2022-2024 жылдарға арналған қала, ауылдық округтердің бюджеті туралы" 2021 жылғы 30 желтоқсандағы № 14-83-VII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қаласының 2022-2024 жылдарға арналған бюджеті 1, 2 және 3-қосымшаларға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424 736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110 007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314 183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432 696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-7 960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7 960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7 960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2022-2024 жылдарға арналған бюджеті 4, 5, 6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120 001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15 292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104 486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121 339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1 338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1 338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2022-2024 жылдарға арналған бюджеті 7, 8, 9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158 485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143 868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159 800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-1315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1315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1315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Ұзыната ауылдық округінің 2022-2024 жылдарға арналған бюджеті 10, 11, 12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93 567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85 987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93 989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2022-2024 жылдарға арналған бюджеті 13, 14, 15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138 781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14 307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124 434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140 216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-1 435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1 435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1 435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2022-2024 жылдарға арналған бюджеті 16, 17, 18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97 646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3 561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93 939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97 741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95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2022-2024 жылдарға арналған бюджеті 19, 20, 21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114 696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108 655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118 220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- 3 524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3 524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3 524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2022-2024 жылдарға арналған бюджеті 22, 23, 24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191 553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185 659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191 915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- 362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362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2022-2024 жылдарға арналған бюджеті 25, 26, 27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120 023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114 535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120 456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2022-2024 жылдарға арналған бюджеті 28, 29, 30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128 208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619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120 194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128 653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- 445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2022-2024 жылдарға арналған бюджеті 31, 32, 33 қосымшаларға сәйкес, соның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91 155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7 580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83 575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92 335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- 1 180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1 180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1 180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23-146-VII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14-83-VII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23-146-VII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14-83-VII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23-146-VII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14-83-VII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23-146-VII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14-83-VII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Ұзын-ата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23-146-VII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14-83-VII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23-146-VII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14-83-VII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23-146-VII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14-83-VII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23-146-VII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14-83-VII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23-146-VII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14-83-VII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23-146-VII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14-83-VII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23-146-VII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14-83-VII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2022 жылға арналған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