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22f4" w14:textId="9242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елді мекендерінде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2022 жылғы 20 маусымдағы № 154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10-3 -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(Нормативтік құқықтық актілерді мемлекеттік тіркеу тізілімінде 20542 нөмірімен тіркелген),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Түлкібас ауданының елді мекендерінде коммуналдық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Байғұт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154 қаулысына қосымша</w:t>
            </w:r>
          </w:p>
        </w:tc>
      </w:tr>
    </w:tbl>
    <w:bookmarkStart w:name="z6" w:id="4"/>
    <w:p>
      <w:pPr>
        <w:spacing w:after="0"/>
        <w:ind w:left="0"/>
        <w:jc w:val="left"/>
      </w:pPr>
      <w:r>
        <w:rPr>
          <w:rFonts w:ascii="Times New Roman"/>
          <w:b/>
          <w:i w:val="false"/>
          <w:color w:val="000000"/>
        </w:rPr>
        <w:t xml:space="preserve"> Түлкібас ауданының елді мекендерінде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Түлкібас ауданының елді мекендерінде коммуналдық көрсетілетін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(Нормативтік құқықтық актілерді мемлекеттік тіркеу тізілімінде 20542 нөмірімен тіркелген)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бұруды, газбен жабдықтауды, электрмен жабдықтауды, жылумен жабдықтауды, қоқыс әкетуді,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