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358c" w14:textId="bb93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Созақ ауданы әкiмдiгiнiң 2022 жылғы 3 тамыздағы № 209 қаулысы</w:t>
      </w:r>
    </w:p>
    <w:p>
      <w:pPr>
        <w:spacing w:after="0"/>
        <w:ind w:left="0"/>
        <w:jc w:val="both"/>
      </w:pPr>
      <w:bookmarkStart w:name="z1" w:id="0"/>
      <w:r>
        <w:rPr>
          <w:rFonts w:ascii="Times New Roman"/>
          <w:b w:val="false"/>
          <w:i w:val="false"/>
          <w:color w:val="000000"/>
          <w:sz w:val="28"/>
        </w:rPr>
        <w:t xml:space="preserve">
      Қазақстан Республикасының 1997 жылғы 16 сәуірдегі № 94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 </w:t>
      </w:r>
      <w:r>
        <w:rPr>
          <w:rFonts w:ascii="Times New Roman"/>
          <w:b w:val="false"/>
          <w:i w:val="false"/>
          <w:color w:val="000000"/>
          <w:sz w:val="28"/>
        </w:rPr>
        <w:t>2-тармақшасына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м.а.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Созақауданы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2022 жылғы "03" тамыздағы</w:t>
            </w:r>
            <w:r>
              <w:br/>
            </w:r>
            <w:r>
              <w:rPr>
                <w:rFonts w:ascii="Times New Roman"/>
                <w:b w:val="false"/>
                <w:i w:val="false"/>
                <w:color w:val="000000"/>
                <w:sz w:val="20"/>
              </w:rPr>
              <w:t>№ 209 қаулысына қосымша</w:t>
            </w:r>
          </w:p>
        </w:tc>
      </w:tr>
    </w:tbl>
    <w:bookmarkStart w:name="z6" w:id="4"/>
    <w:p>
      <w:pPr>
        <w:spacing w:after="0"/>
        <w:ind w:left="0"/>
        <w:jc w:val="left"/>
      </w:pPr>
      <w:r>
        <w:rPr>
          <w:rFonts w:ascii="Times New Roman"/>
          <w:b/>
          <w:i w:val="false"/>
          <w:color w:val="000000"/>
        </w:rPr>
        <w:t xml:space="preserve"> Созақ ауданында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Созақауданындакоммуналдық көрсетілетін қызметтерді ұсынудың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міндеттерін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