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f03e" w14:textId="f63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28 желтоқсандағы № 74 "2022-2024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 маусымдағы № 107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28 желтоқсандағы № 74 "2022-2024 жылдарға арналған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2022-2024 жылдарға арналған бюджеті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2022-2024 жылдарға арналған бюджеті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50 971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2022-2024 жылдарға арналған бюджеті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2022-2024 жылдарға арналған бюджеті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2022-2024 жылдарға арналған бюджеті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2022-2024 жылдарға арналған бюджеті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2022-2024 жылдарға арналған бюджеті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2022-2024 жылдарға арналған бюджеті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193 497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21 277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2022-2024 жылдарға арналған бюджеті 25-қосымшаға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2022-2024 жылдарға арналған бюджеті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2022-2024 жылдарға арналған бюджеті 31-қосымшаға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86 879,0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2022-2024 жылдарға арналған бюджеті 34-қосымшаға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1 060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