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c668" w14:textId="31ac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2021 жылғы 30 желтоқсандағы № 17-117-VII "2022-2024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20 сәуірдегі № 20-141-VII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2021 жылғы 30 желтоқсандағы № 17-117-VII "2022-2024 жылдарға арналған қала, кент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2022-2024 жылдарға арналған бюджеті 1, 2 және 3-қосымшаларға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214 257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165 089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7 245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7 245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2022-2024 жылдарға арналған бюджеті 4, 5 және 6-қосымшаларға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47 605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33 498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2022-2024 жылдарға арналған бюджеті 7, 8 және 9-қосымшаларға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2022-2024 жылдарға арналған бюджеті 10, 11 және 12-қосымшаларға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70 503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56 151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2022-2024 жылдарға арналған бюджеті 13, 14 және 15-қосымшаларға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79 099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65 725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2 401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2022-2024 жылдарға арналған бюджеті 16, 17 және 18-қосымшаларға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89 904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53 713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2022-2024 жылдарға арналған бюджеті 19, 20 және 21-қосымшаларға сәйкес, оның ішінде 2022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152 756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83 197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8 443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8 443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2022-2024 жылдарға арналған бюджеті 22, 23 және 24-қосымшаларға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66 178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2022-2024 жылдарға арналған бюджеті 25, 26 және 27-қосымшаларға сәйкес, оның ішінде 2022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46 715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3 186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2022-2024 жылдарға арналған бюджеті 28, 29 және 30-қосымшаларға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2 782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2022-2024 жылдарға арналған бюджеті 31, 32 және 33-қосымшаларға сәйкес, оның ішінде 2022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1 026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2022-2024 жылдарға арналған бюджеті 34, 35 және 36-қосымшаларға сәйкес, оның ішінде 2022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28 099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2 884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2022-2024 жылдарға арналған бюджеті 37, 38 және 39-қосымшаларға сәйкес, оның ішінде 2022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78 722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1 141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2022-2024 жылдарға арналған бюджеті 40, 41 және 42-қосымшаларға сәйкес, оның ішінде 2022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30 636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 мың теңге.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 № 20-141-VII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