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683b" w14:textId="9286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29 желтоқсандағы № 13-82/VII "Сайрам ауданы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22 қарашадағы № 22-130/VII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2021 жылғы 29 желтоқсандағы № 13-82/VII "Сайрам ауданы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2022-2024 жылдарға арналған бюджеті тиісінше 1, 2 және 3-қосымшаларға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34 195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2022-2024 жылдарға арналған бюджеті тиісінше 4, 5 және 6-қосымшаларға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2022-2024 жылдарға арналған бюджеті тиісінше 7, 8 және 9-қосымшаларға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2022-2024 жылдарға арналған бюджеті тиісінше 10, 11 және 12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2022-2024 жылдарға арналған бюджеті тиісінше 13, 14 және 15-қосымшаларға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2022-2024 жылдарға арналған бюджеті тиісінше 16, 17 және 18-қосымшаларға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2022-2024 жылдарға арналған бюджеті тиісінше 19, 20 және 21-қосымшаларға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2022-2024 жылдарға арналған бюджеті тиісінше 22, 23 және 24-қосымшаларға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6 011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2022-2024 жылдарға арналған бюджеті тиісінше 25, 26 және 27-қосымшаларға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1 174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2022-2024 жылдарға арналған бюджеті тиісінше 28, 29 және 30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2022-2024 жылдарға арналған бюджеті тиісінше 31, 32 және 33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22-130/VII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