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ce28" w14:textId="3adc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2022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2022 жылғы 24 қаңтардағы № 79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2022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2022 жылға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2022 жылға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Е.Оралбайға жүктелсін.</w:t>
      </w:r>
    </w:p>
    <w:bookmarkEnd w:id="4"/>
    <w:bookmarkStart w:name="z6" w:id="5"/>
    <w:p>
      <w:pPr>
        <w:spacing w:after="0"/>
        <w:ind w:left="0"/>
        <w:jc w:val="both"/>
      </w:pPr>
      <w:r>
        <w:rPr>
          <w:rFonts w:ascii="Times New Roman"/>
          <w:b w:val="false"/>
          <w:i w:val="false"/>
          <w:color w:val="000000"/>
          <w:sz w:val="28"/>
        </w:rPr>
        <w:t>
      5. Осы қаулы оның алғашқы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Жаппарқұлов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79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2022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"Отырар мемлекеттік археологиялық қорық-мұражайы" республикалық мемлекеттік қазыналық кәсіпорыны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79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2022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"Отырар-2050"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79 қаулысына 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2022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мәдениет, тілдерді дамыту, дене шынықтыру және спорт бөлімінің "Отырар аудандық орталықтандырылған кітапхана жүйесі"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