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4493" w14:textId="cf64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2021 жылғы 29 желтоқсандағы № 13/85 "2022 – 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7 қазандағы № 23/141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2021 жылғы 29 желтоқсандағы 13/85 "2022-2024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2022 - 2024 жылдарға арналған бюджеті тиісінше 1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Алғабас ауылдық округінің 2022- 2024 жылдарға арналған бюджеті тиісінше 2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97 147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89 163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97 915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Алмалы ауылдық округінің 2022-2024 жылдарға арналған бюджеті тиісінше 3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Ақбастау ауылдық округінің 2022 - 2024 жылдарға арналған бюджеті тиісінше 4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72 311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72 588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Боралдай ауылдық округінің 2022 - 2024 жылдарға арналған бюджеті тиісінше 5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77 947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Бөген ауылдық округінің 2022 - 2024 жылдарға арналған бюджеті тиісінше 6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100747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Борлысай ауылдық округінің 2022 - 2024 жылдарға арналған бюджеті тиісінше 7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58 807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Жамбыл ауылдық округінің 2022 – 2024 жылдарға арналған бюджеті тиісінше 8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65 727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Көктерек ауылдық округінің 2022 - 2024 жылдарға арналған бюджеті тиісінше 9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Мыңбұлақ ауылдық округінің 2022 - 2024 жылдарға арналған бюджеті тиісінше 10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51 919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Шаян ауылдық округінің 2022 - 2024 жылдарға арналған бюджеті тиісінше 11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119 629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–23 598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4 538 мың теңге.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қалалар, кенттерде, ауылдарда, ауылдық округтерге автомобиль жолдарының жұмыс істеуіне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